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88B62" w14:textId="77777777" w:rsidR="00F424E6" w:rsidRDefault="00F424E6" w:rsidP="00F424E6">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sidR="0089639C">
        <w:rPr>
          <w:b/>
          <w:noProof/>
          <w:sz w:val="24"/>
          <w:lang w:eastAsia="ja-JP"/>
        </w:rPr>
        <w:t>bis</w:t>
      </w:r>
      <w:r>
        <w:rPr>
          <w:b/>
          <w:i/>
          <w:noProof/>
          <w:sz w:val="28"/>
        </w:rPr>
        <w:tab/>
      </w:r>
      <w:r w:rsidR="00C135B6" w:rsidRPr="00C135B6">
        <w:rPr>
          <w:b/>
          <w:i/>
          <w:noProof/>
          <w:sz w:val="28"/>
        </w:rPr>
        <w:t>R4-1912442</w:t>
      </w:r>
      <w:bookmarkStart w:id="0" w:name="_GoBack"/>
      <w:bookmarkEnd w:id="0"/>
    </w:p>
    <w:p w14:paraId="7667E06D" w14:textId="77777777" w:rsidR="00F424E6" w:rsidRDefault="0089639C" w:rsidP="00F424E6">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00F424E6"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00F424E6" w:rsidRPr="00F644CF">
        <w:rPr>
          <w:rFonts w:ascii="Arial" w:eastAsia="SimSun" w:hAnsi="Arial"/>
          <w:b/>
          <w:sz w:val="24"/>
          <w:szCs w:val="24"/>
          <w:lang w:eastAsia="zh-CN"/>
        </w:rPr>
        <w:t xml:space="preserve">, </w:t>
      </w:r>
      <w:r>
        <w:rPr>
          <w:rFonts w:ascii="Arial" w:eastAsia="SimSun" w:hAnsi="Arial"/>
          <w:b/>
          <w:sz w:val="24"/>
          <w:szCs w:val="24"/>
          <w:lang w:eastAsia="zh-CN"/>
        </w:rPr>
        <w:t>14</w:t>
      </w:r>
      <w:r w:rsidR="00F424E6" w:rsidRPr="0022145D">
        <w:rPr>
          <w:rFonts w:ascii="Arial" w:eastAsia="SimSun" w:hAnsi="Arial"/>
          <w:b/>
          <w:sz w:val="24"/>
          <w:szCs w:val="24"/>
          <w:vertAlign w:val="superscript"/>
          <w:lang w:eastAsia="zh-CN"/>
        </w:rPr>
        <w:t>th</w:t>
      </w:r>
      <w:r w:rsidR="00F424E6">
        <w:rPr>
          <w:rFonts w:ascii="Arial" w:eastAsia="SimSun" w:hAnsi="Arial"/>
          <w:b/>
          <w:sz w:val="24"/>
          <w:szCs w:val="24"/>
          <w:lang w:eastAsia="zh-CN"/>
        </w:rPr>
        <w:t>–</w:t>
      </w:r>
      <w:r w:rsidR="00F424E6"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sidR="00F424E6">
        <w:rPr>
          <w:rFonts w:ascii="Arial" w:eastAsia="SimSun" w:hAnsi="Arial"/>
          <w:b/>
          <w:sz w:val="24"/>
          <w:szCs w:val="24"/>
          <w:vertAlign w:val="superscript"/>
          <w:lang w:eastAsia="zh-CN"/>
        </w:rPr>
        <w:t>th</w:t>
      </w:r>
      <w:r w:rsidR="00F424E6">
        <w:rPr>
          <w:rFonts w:ascii="Arial" w:eastAsia="SimSun" w:hAnsi="Arial"/>
          <w:b/>
          <w:sz w:val="24"/>
          <w:szCs w:val="24"/>
          <w:lang w:eastAsia="zh-CN"/>
        </w:rPr>
        <w:t xml:space="preserve"> </w:t>
      </w:r>
      <w:r>
        <w:rPr>
          <w:rFonts w:ascii="Arial" w:eastAsia="SimSun" w:hAnsi="Arial"/>
          <w:b/>
          <w:sz w:val="24"/>
          <w:szCs w:val="24"/>
          <w:lang w:val="en-US" w:eastAsia="zh-CN"/>
        </w:rPr>
        <w:t>October</w:t>
      </w:r>
      <w:r w:rsidR="00F424E6" w:rsidRPr="00F644CF">
        <w:rPr>
          <w:rFonts w:ascii="Arial" w:eastAsia="SimSun" w:hAnsi="Arial"/>
          <w:b/>
          <w:sz w:val="24"/>
          <w:szCs w:val="24"/>
          <w:lang w:eastAsia="zh-CN"/>
        </w:rPr>
        <w:t xml:space="preserve"> 201</w:t>
      </w:r>
      <w:r w:rsidR="00F424E6">
        <w:rPr>
          <w:rFonts w:ascii="Arial" w:eastAsia="SimSun" w:hAnsi="Arial"/>
          <w:b/>
          <w:sz w:val="24"/>
          <w:szCs w:val="24"/>
          <w:lang w:eastAsia="zh-CN"/>
        </w:rPr>
        <w:t>9</w:t>
      </w:r>
    </w:p>
    <w:p w14:paraId="0A19ADC9"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162CB8FC" w14:textId="77777777" w:rsidR="00EF74A9" w:rsidRPr="007C00B9"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7C00B9" w:rsidRPr="007C00B9">
        <w:rPr>
          <w:rFonts w:ascii="Arial" w:hAnsi="Arial"/>
          <w:sz w:val="24"/>
          <w:lang w:val="en-US" w:eastAsia="ja-JP"/>
        </w:rPr>
        <w:t>6.7.3.5</w:t>
      </w:r>
      <w:r w:rsidR="007C00B9" w:rsidRPr="007C00B9">
        <w:rPr>
          <w:rFonts w:ascii="Arial" w:hAnsi="Arial"/>
          <w:sz w:val="24"/>
          <w:lang w:val="en-US" w:eastAsia="ja-JP"/>
        </w:rPr>
        <w:tab/>
        <w:t xml:space="preserve">Receiver spurious emissions </w:t>
      </w:r>
      <w:r w:rsidR="007C00B9" w:rsidRPr="007C00B9">
        <w:rPr>
          <w:rFonts w:ascii="Arial" w:hAnsi="Arial"/>
          <w:sz w:val="24"/>
          <w:lang w:val="en-US" w:eastAsia="ja-JP"/>
        </w:rPr>
        <w:tab/>
        <w:t>[NR_newRAT-Core]</w:t>
      </w:r>
    </w:p>
    <w:p w14:paraId="4CC16188"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1C76AE9"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C16679">
        <w:rPr>
          <w:rFonts w:ascii="Arial" w:hAnsi="Arial"/>
          <w:sz w:val="24"/>
          <w:lang w:val="en-US"/>
        </w:rPr>
        <w:t>A</w:t>
      </w:r>
      <w:r w:rsidR="0086347A">
        <w:rPr>
          <w:rFonts w:ascii="Arial" w:hAnsi="Arial"/>
          <w:sz w:val="24"/>
          <w:lang w:val="en-US"/>
        </w:rPr>
        <w:t>lignment</w:t>
      </w:r>
      <w:r w:rsidR="007C00B9">
        <w:rPr>
          <w:rFonts w:ascii="Arial" w:hAnsi="Arial"/>
          <w:sz w:val="24"/>
          <w:lang w:val="en-US"/>
        </w:rPr>
        <w:t xml:space="preserve"> of receiver spurious emissions requirements</w:t>
      </w:r>
      <w:r w:rsidR="0086347A">
        <w:rPr>
          <w:rFonts w:ascii="Arial" w:hAnsi="Arial"/>
          <w:sz w:val="24"/>
          <w:lang w:val="en-US"/>
        </w:rPr>
        <w:t xml:space="preserve"> for BS type 1-O/2-O</w:t>
      </w:r>
    </w:p>
    <w:p w14:paraId="4A5D3194"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7443D8CC" w14:textId="77777777" w:rsidR="00E7460A" w:rsidRPr="007B3B93" w:rsidRDefault="00E7460A" w:rsidP="006475B9">
      <w:pPr>
        <w:pStyle w:val="1"/>
        <w:numPr>
          <w:ilvl w:val="0"/>
          <w:numId w:val="2"/>
        </w:numPr>
        <w:ind w:left="567" w:hanging="567"/>
      </w:pPr>
      <w:r w:rsidRPr="007B3B93">
        <w:t>Introduction</w:t>
      </w:r>
    </w:p>
    <w:p w14:paraId="69E108BC" w14:textId="77777777" w:rsidR="00114547" w:rsidRDefault="00643555" w:rsidP="0056501A">
      <w:pPr>
        <w:jc w:val="both"/>
        <w:rPr>
          <w:u w:val="single"/>
          <w:lang w:val="en-US" w:eastAsia="ja-JP"/>
        </w:rPr>
      </w:pPr>
      <w:r>
        <w:rPr>
          <w:lang w:val="en-US" w:eastAsia="ja-JP"/>
        </w:rPr>
        <w:t>In RAN4 #92</w:t>
      </w:r>
      <w:r w:rsidR="00B61B8C">
        <w:rPr>
          <w:lang w:val="en-US" w:eastAsia="ja-JP"/>
        </w:rPr>
        <w:t xml:space="preserve">, </w:t>
      </w:r>
      <w:r>
        <w:rPr>
          <w:lang w:val="en-US" w:eastAsia="ja-JP"/>
        </w:rPr>
        <w:t xml:space="preserve">it was proposed to change Rx spurious emission requirements for AAS (i.e., BS type 1-O and 2-O) </w:t>
      </w:r>
      <w:r w:rsidR="00D41E2C">
        <w:rPr>
          <w:lang w:val="en-US" w:eastAsia="ja-JP"/>
        </w:rPr>
        <w:t>to</w:t>
      </w:r>
      <w:r>
        <w:rPr>
          <w:lang w:val="en-US" w:eastAsia="ja-JP"/>
        </w:rPr>
        <w:t xml:space="preserve"> align between 3GPP limit and CEPT</w:t>
      </w:r>
      <w:r w:rsidR="00D41E2C">
        <w:rPr>
          <w:lang w:val="en-US" w:eastAsia="ja-JP"/>
        </w:rPr>
        <w:t>/ECC</w:t>
      </w:r>
      <w:r>
        <w:rPr>
          <w:lang w:val="en-US" w:eastAsia="ja-JP"/>
        </w:rPr>
        <w:t xml:space="preserve"> limit in [1]. However, it was noted </w:t>
      </w:r>
      <w:r w:rsidR="00D41E2C">
        <w:rPr>
          <w:lang w:val="en-US" w:eastAsia="ja-JP"/>
        </w:rPr>
        <w:t>because of its</w:t>
      </w:r>
      <w:r>
        <w:rPr>
          <w:lang w:val="en-US" w:eastAsia="ja-JP"/>
        </w:rPr>
        <w:t xml:space="preserve"> impact </w:t>
      </w:r>
      <w:r w:rsidR="00D41E2C">
        <w:rPr>
          <w:lang w:val="en-US" w:eastAsia="ja-JP"/>
        </w:rPr>
        <w:t>on</w:t>
      </w:r>
      <w:r>
        <w:rPr>
          <w:lang w:val="en-US" w:eastAsia="ja-JP"/>
        </w:rPr>
        <w:t xml:space="preserve"> the regulatory requirements </w:t>
      </w:r>
      <w:r w:rsidR="00D41E2C">
        <w:rPr>
          <w:lang w:val="en-US" w:eastAsia="ja-JP"/>
        </w:rPr>
        <w:t>in</w:t>
      </w:r>
      <w:r>
        <w:rPr>
          <w:lang w:val="en-US" w:eastAsia="ja-JP"/>
        </w:rPr>
        <w:t xml:space="preserve"> other region(s). </w:t>
      </w:r>
      <w:r w:rsidR="0056501A">
        <w:rPr>
          <w:lang w:val="en-US" w:eastAsia="ja-JP"/>
        </w:rPr>
        <w:t xml:space="preserve">In this contribution, we provide </w:t>
      </w:r>
      <w:r>
        <w:rPr>
          <w:lang w:val="en-US" w:eastAsia="ja-JP"/>
        </w:rPr>
        <w:t>candidate approaches to solve this issue and our preference.</w:t>
      </w:r>
    </w:p>
    <w:p w14:paraId="79191399" w14:textId="77777777" w:rsidR="00A33BED" w:rsidRDefault="00A33BED" w:rsidP="00A33BED">
      <w:pPr>
        <w:pStyle w:val="1"/>
        <w:rPr>
          <w:lang w:val="en-US" w:eastAsia="ja-JP"/>
        </w:rPr>
      </w:pPr>
      <w:r>
        <w:rPr>
          <w:lang w:val="en-US" w:eastAsia="ja-JP"/>
        </w:rPr>
        <w:t>2.</w:t>
      </w:r>
      <w:r>
        <w:rPr>
          <w:lang w:val="en-US" w:eastAsia="ja-JP"/>
        </w:rPr>
        <w:tab/>
        <w:t>Discussion</w:t>
      </w:r>
    </w:p>
    <w:p w14:paraId="5211C5B9" w14:textId="77777777" w:rsidR="002120E3" w:rsidRDefault="00643555" w:rsidP="006613B0">
      <w:pPr>
        <w:jc w:val="both"/>
        <w:rPr>
          <w:lang w:val="en-US" w:eastAsia="ja-JP"/>
        </w:rPr>
      </w:pPr>
      <w:r>
        <w:rPr>
          <w:lang w:val="en-US" w:eastAsia="ja-JP"/>
        </w:rPr>
        <w:t xml:space="preserve">In RAN4 #92, </w:t>
      </w:r>
      <w:proofErr w:type="gramStart"/>
      <w:r>
        <w:rPr>
          <w:lang w:val="en-US" w:eastAsia="ja-JP"/>
        </w:rPr>
        <w:t>the alignment of Rx spurious emissions was proposed by Ericsson</w:t>
      </w:r>
      <w:proofErr w:type="gramEnd"/>
      <w:r>
        <w:rPr>
          <w:lang w:val="en-US" w:eastAsia="ja-JP"/>
        </w:rPr>
        <w:t xml:space="preserve">. However, </w:t>
      </w:r>
      <w:r w:rsidR="002120E3">
        <w:rPr>
          <w:lang w:val="en-US" w:eastAsia="ja-JP"/>
        </w:rPr>
        <w:t xml:space="preserve">no consensus was reached since regulatory requirements </w:t>
      </w:r>
      <w:r w:rsidR="00D41E2C">
        <w:rPr>
          <w:lang w:val="en-US" w:eastAsia="ja-JP"/>
        </w:rPr>
        <w:t xml:space="preserve">using the current Rx spurious emission limits exist </w:t>
      </w:r>
      <w:r w:rsidR="002120E3">
        <w:rPr>
          <w:lang w:val="en-US" w:eastAsia="ja-JP"/>
        </w:rPr>
        <w:t>i</w:t>
      </w:r>
      <w:r w:rsidR="00D41E2C">
        <w:rPr>
          <w:lang w:val="en-US" w:eastAsia="ja-JP"/>
        </w:rPr>
        <w:t>n certain regions (e.g., Japan).</w:t>
      </w:r>
    </w:p>
    <w:p w14:paraId="0EDB2ED7" w14:textId="77777777" w:rsidR="002120E3" w:rsidRDefault="002120E3" w:rsidP="006613B0">
      <w:pPr>
        <w:jc w:val="both"/>
        <w:rPr>
          <w:lang w:val="en-US" w:eastAsia="ja-JP"/>
        </w:rPr>
      </w:pPr>
      <w:r>
        <w:rPr>
          <w:lang w:val="en-US" w:eastAsia="ja-JP"/>
        </w:rPr>
        <w:t>In the first release of TS 38.104 (v15.0.0),</w:t>
      </w:r>
      <w:r>
        <w:rPr>
          <w:rFonts w:hint="eastAsia"/>
          <w:lang w:val="en-US" w:eastAsia="ja-JP"/>
        </w:rPr>
        <w:t xml:space="preserve"> </w:t>
      </w:r>
      <w:r>
        <w:rPr>
          <w:lang w:val="en-US" w:eastAsia="ja-JP"/>
        </w:rPr>
        <w:t xml:space="preserve">FR2 </w:t>
      </w:r>
      <w:r>
        <w:rPr>
          <w:rFonts w:hint="eastAsia"/>
          <w:lang w:val="en-US" w:eastAsia="ja-JP"/>
        </w:rPr>
        <w:t>Rx spurious emissions</w:t>
      </w:r>
      <w:r>
        <w:rPr>
          <w:lang w:val="en-US" w:eastAsia="ja-JP"/>
        </w:rPr>
        <w:t xml:space="preserve"> requirement</w:t>
      </w:r>
      <w:r>
        <w:rPr>
          <w:rFonts w:hint="eastAsia"/>
          <w:lang w:val="en-US" w:eastAsia="ja-JP"/>
        </w:rPr>
        <w:t xml:space="preserve"> </w:t>
      </w:r>
      <w:r>
        <w:rPr>
          <w:lang w:val="en-US" w:eastAsia="ja-JP"/>
        </w:rPr>
        <w:t>was</w:t>
      </w:r>
      <w:r>
        <w:rPr>
          <w:rFonts w:hint="eastAsia"/>
          <w:lang w:val="en-US" w:eastAsia="ja-JP"/>
        </w:rPr>
        <w:t xml:space="preserve"> defined as -57dBm/100kHz for </w:t>
      </w:r>
      <w:r>
        <w:rPr>
          <w:lang w:val="en-US" w:eastAsia="ja-JP"/>
        </w:rPr>
        <w:t>up to 1GHz and -47dBm/MHz for up to 5</w:t>
      </w:r>
      <w:r w:rsidRPr="002120E3">
        <w:rPr>
          <w:vertAlign w:val="superscript"/>
          <w:lang w:val="en-US" w:eastAsia="ja-JP"/>
        </w:rPr>
        <w:t>th</w:t>
      </w:r>
      <w:r>
        <w:rPr>
          <w:lang w:val="en-US" w:eastAsia="ja-JP"/>
        </w:rPr>
        <w:t xml:space="preserve"> harmonic of the upper frequency edge of the UL operating band. After that, in the next version (v15.1.0), the testability issue was raised up and the limit was revisited to -36dBm/MHz for the frequency range more than 12.75GHz. </w:t>
      </w:r>
      <w:r w:rsidR="00D41E2C">
        <w:rPr>
          <w:lang w:val="en-US" w:eastAsia="ja-JP"/>
        </w:rPr>
        <w:t>It</w:t>
      </w:r>
      <w:r>
        <w:rPr>
          <w:lang w:val="en-US" w:eastAsia="ja-JP"/>
        </w:rPr>
        <w:t xml:space="preserve"> was</w:t>
      </w:r>
      <w:r w:rsidR="00D41E2C">
        <w:rPr>
          <w:lang w:val="en-US" w:eastAsia="ja-JP"/>
        </w:rPr>
        <w:t xml:space="preserve"> finally</w:t>
      </w:r>
      <w:r>
        <w:rPr>
          <w:lang w:val="en-US" w:eastAsia="ja-JP"/>
        </w:rPr>
        <w:t xml:space="preserve"> concluded that the Rx spurious emission limit -36dBm was testable and apply to BS type 2-O.</w:t>
      </w:r>
    </w:p>
    <w:p w14:paraId="09A09F69" w14:textId="77777777" w:rsidR="00D41E2C" w:rsidRDefault="002120E3" w:rsidP="006613B0">
      <w:pPr>
        <w:jc w:val="both"/>
        <w:rPr>
          <w:lang w:val="en-US" w:eastAsia="ja-JP"/>
        </w:rPr>
      </w:pPr>
      <w:r>
        <w:rPr>
          <w:lang w:val="en-US" w:eastAsia="ja-JP"/>
        </w:rPr>
        <w:t>From the above discussion for Rx spurious emissions in RAN4, the testab</w:t>
      </w:r>
      <w:r w:rsidR="00D41E2C">
        <w:rPr>
          <w:lang w:val="en-US" w:eastAsia="ja-JP"/>
        </w:rPr>
        <w:t xml:space="preserve">ility issue is already resolved. On the other hand, according to CEPT/ECC decision, more relaxed values for </w:t>
      </w:r>
      <w:r>
        <w:rPr>
          <w:lang w:val="en-US" w:eastAsia="ja-JP"/>
        </w:rPr>
        <w:t>Tx and Rx spurious emissions</w:t>
      </w:r>
      <w:r w:rsidR="00D41E2C">
        <w:rPr>
          <w:lang w:val="en-US" w:eastAsia="ja-JP"/>
        </w:rPr>
        <w:t xml:space="preserve"> were agreed</w:t>
      </w:r>
      <w:r>
        <w:rPr>
          <w:lang w:val="en-US" w:eastAsia="ja-JP"/>
        </w:rPr>
        <w:t xml:space="preserve">. For </w:t>
      </w:r>
      <w:r w:rsidR="00D41E2C">
        <w:rPr>
          <w:lang w:val="en-US" w:eastAsia="ja-JP"/>
        </w:rPr>
        <w:t xml:space="preserve">alignment Rx spurious emissions, we need further </w:t>
      </w:r>
      <w:r>
        <w:rPr>
          <w:lang w:val="en-US" w:eastAsia="ja-JP"/>
        </w:rPr>
        <w:t>clarification o</w:t>
      </w:r>
      <w:r w:rsidR="00D41E2C">
        <w:rPr>
          <w:lang w:val="en-US" w:eastAsia="ja-JP"/>
        </w:rPr>
        <w:t>n</w:t>
      </w:r>
      <w:r>
        <w:rPr>
          <w:lang w:val="en-US" w:eastAsia="ja-JP"/>
        </w:rPr>
        <w:t xml:space="preserve"> th</w:t>
      </w:r>
      <w:r w:rsidR="00D41E2C">
        <w:rPr>
          <w:lang w:val="en-US" w:eastAsia="ja-JP"/>
        </w:rPr>
        <w:t xml:space="preserve">e technical background and </w:t>
      </w:r>
      <w:proofErr w:type="gramStart"/>
      <w:r w:rsidR="00D41E2C">
        <w:rPr>
          <w:lang w:val="en-US" w:eastAsia="ja-JP"/>
        </w:rPr>
        <w:t>evidence which</w:t>
      </w:r>
      <w:proofErr w:type="gramEnd"/>
      <w:r w:rsidR="00D41E2C">
        <w:rPr>
          <w:lang w:val="en-US" w:eastAsia="ja-JP"/>
        </w:rPr>
        <w:t xml:space="preserve"> were</w:t>
      </w:r>
      <w:r>
        <w:rPr>
          <w:lang w:val="en-US" w:eastAsia="ja-JP"/>
        </w:rPr>
        <w:t xml:space="preserve"> discussed in CEPT/ECC</w:t>
      </w:r>
      <w:r w:rsidR="00D41E2C">
        <w:rPr>
          <w:lang w:val="en-US" w:eastAsia="ja-JP"/>
        </w:rPr>
        <w:t>.</w:t>
      </w:r>
    </w:p>
    <w:p w14:paraId="7210468C" w14:textId="77777777" w:rsidR="002120E3" w:rsidRDefault="002120E3" w:rsidP="006613B0">
      <w:pPr>
        <w:jc w:val="both"/>
        <w:rPr>
          <w:lang w:val="en-US" w:eastAsia="ja-JP"/>
        </w:rPr>
      </w:pPr>
      <w:r>
        <w:rPr>
          <w:lang w:val="en-US" w:eastAsia="ja-JP"/>
        </w:rPr>
        <w:t>In addition, regarding FR1 Rx spurious emissions, it seems that there is no paper to explain the reason why change the limits so far</w:t>
      </w:r>
      <w:r w:rsidR="00D41E2C">
        <w:rPr>
          <w:lang w:val="en-US" w:eastAsia="ja-JP"/>
        </w:rPr>
        <w:t xml:space="preserve"> in 3GPP</w:t>
      </w:r>
      <w:r>
        <w:rPr>
          <w:lang w:val="en-US" w:eastAsia="ja-JP"/>
        </w:rPr>
        <w:t xml:space="preserve">. We would like to know the technical reasons why the Rx spurious limits for </w:t>
      </w:r>
      <w:r w:rsidR="00D41E2C">
        <w:rPr>
          <w:lang w:val="en-US" w:eastAsia="ja-JP"/>
        </w:rPr>
        <w:t xml:space="preserve">only </w:t>
      </w:r>
      <w:r>
        <w:rPr>
          <w:lang w:val="en-US" w:eastAsia="ja-JP"/>
        </w:rPr>
        <w:t xml:space="preserve">AAS including FDD and TDD were changed </w:t>
      </w:r>
      <w:r w:rsidRPr="002120E3">
        <w:rPr>
          <w:lang w:val="en-US" w:eastAsia="ja-JP"/>
        </w:rPr>
        <w:t>while the non-AAS limits remain the existing limits</w:t>
      </w:r>
      <w:r w:rsidR="00D41E2C">
        <w:rPr>
          <w:lang w:val="en-US" w:eastAsia="ja-JP"/>
        </w:rPr>
        <w:t xml:space="preserve"> even if the system is the same</w:t>
      </w:r>
      <w:r w:rsidRPr="002120E3">
        <w:rPr>
          <w:lang w:val="en-US" w:eastAsia="ja-JP"/>
        </w:rPr>
        <w:t>.</w:t>
      </w:r>
    </w:p>
    <w:p w14:paraId="756F6D08" w14:textId="77777777" w:rsidR="002120E3" w:rsidRPr="002120E3" w:rsidRDefault="002120E3" w:rsidP="006613B0">
      <w:pPr>
        <w:jc w:val="both"/>
        <w:rPr>
          <w:b/>
          <w:lang w:val="en-US" w:eastAsia="ja-JP"/>
        </w:rPr>
      </w:pPr>
      <w:r>
        <w:rPr>
          <w:b/>
          <w:lang w:val="en-US" w:eastAsia="ja-JP"/>
        </w:rPr>
        <w:t xml:space="preserve">Proposal 1: </w:t>
      </w:r>
      <w:r w:rsidR="00D41E2C">
        <w:rPr>
          <w:b/>
          <w:lang w:val="en-US" w:eastAsia="ja-JP"/>
        </w:rPr>
        <w:t xml:space="preserve">Before alignment, it is necessary to clarify the </w:t>
      </w:r>
      <w:r>
        <w:rPr>
          <w:b/>
          <w:lang w:val="en-US" w:eastAsia="ja-JP"/>
        </w:rPr>
        <w:t>technical background why FR1 FDD/TDD and FR2 TDD Rx spurious emissions requirements</w:t>
      </w:r>
      <w:r w:rsidR="00D41E2C">
        <w:rPr>
          <w:b/>
          <w:lang w:val="en-US" w:eastAsia="ja-JP"/>
        </w:rPr>
        <w:t xml:space="preserve"> need to be changed.</w:t>
      </w:r>
    </w:p>
    <w:p w14:paraId="4EB6B5A1" w14:textId="77777777" w:rsidR="00643555" w:rsidRPr="00643555" w:rsidRDefault="00D41E2C" w:rsidP="006613B0">
      <w:pPr>
        <w:jc w:val="both"/>
        <w:rPr>
          <w:lang w:eastAsia="ja-JP"/>
        </w:rPr>
      </w:pPr>
      <w:r>
        <w:rPr>
          <w:lang w:val="en-US" w:eastAsia="ja-JP"/>
        </w:rPr>
        <w:t xml:space="preserve">For the alignment of Rx spurious emissions, </w:t>
      </w:r>
      <w:r w:rsidR="00643555">
        <w:rPr>
          <w:lang w:val="en-US" w:eastAsia="ja-JP"/>
        </w:rPr>
        <w:t xml:space="preserve">the following </w:t>
      </w:r>
      <w:r w:rsidR="00643555">
        <w:rPr>
          <w:rFonts w:hint="eastAsia"/>
          <w:lang w:val="en-US" w:eastAsia="ja-JP"/>
        </w:rPr>
        <w:t xml:space="preserve">candidate approaches </w:t>
      </w:r>
      <w:r w:rsidR="00643555">
        <w:rPr>
          <w:lang w:val="en-US" w:eastAsia="ja-JP"/>
        </w:rPr>
        <w:t>can be considered</w:t>
      </w:r>
      <w:r w:rsidRPr="00D41E2C">
        <w:rPr>
          <w:lang w:val="en-US" w:eastAsia="ja-JP"/>
        </w:rPr>
        <w:t xml:space="preserve"> </w:t>
      </w:r>
      <w:r>
        <w:rPr>
          <w:lang w:val="en-US" w:eastAsia="ja-JP"/>
        </w:rPr>
        <w:t>taking into account of the regulatory requirements in Cat.A regions</w:t>
      </w:r>
      <w:r w:rsidR="00643555">
        <w:rPr>
          <w:lang w:val="en-US" w:eastAsia="ja-JP"/>
        </w:rPr>
        <w:t>:</w:t>
      </w:r>
    </w:p>
    <w:p w14:paraId="5262C6B7" w14:textId="77777777" w:rsidR="00643555" w:rsidRPr="00643555" w:rsidRDefault="00643555" w:rsidP="00D41E2C">
      <w:pPr>
        <w:ind w:left="852" w:hanging="567"/>
        <w:jc w:val="both"/>
        <w:rPr>
          <w:lang w:val="en-US" w:eastAsia="ja-JP"/>
        </w:rPr>
      </w:pPr>
      <w:r>
        <w:rPr>
          <w:lang w:val="en-US" w:eastAsia="ja-JP"/>
        </w:rPr>
        <w:t>Alt. 1:</w:t>
      </w:r>
      <w:r>
        <w:rPr>
          <w:lang w:val="en-US" w:eastAsia="ja-JP"/>
        </w:rPr>
        <w:tab/>
      </w:r>
      <w:r w:rsidRPr="00643555">
        <w:rPr>
          <w:lang w:val="en-US" w:eastAsia="ja-JP"/>
        </w:rPr>
        <w:t>Introduce Cat.A and Cat.B limits</w:t>
      </w:r>
      <w:r w:rsidR="00D41E2C">
        <w:rPr>
          <w:lang w:val="en-US" w:eastAsia="ja-JP"/>
        </w:rPr>
        <w:t>.</w:t>
      </w:r>
      <w:r w:rsidR="00D41E2C" w:rsidRPr="00D41E2C">
        <w:t xml:space="preserve"> </w:t>
      </w:r>
      <w:r w:rsidR="00D41E2C" w:rsidRPr="00D41E2C">
        <w:rPr>
          <w:lang w:val="en-US" w:eastAsia="ja-JP"/>
        </w:rPr>
        <w:t xml:space="preserve">And after revising Japanese regulation for alignment, remove </w:t>
      </w:r>
      <w:r w:rsidR="00D41E2C">
        <w:rPr>
          <w:lang w:val="en-US" w:eastAsia="ja-JP"/>
        </w:rPr>
        <w:t>Cat.A</w:t>
      </w:r>
      <w:r w:rsidR="00D41E2C" w:rsidRPr="00D41E2C">
        <w:rPr>
          <w:lang w:val="en-US" w:eastAsia="ja-JP"/>
        </w:rPr>
        <w:t xml:space="preserve"> requirement from the 3GPP specifications</w:t>
      </w:r>
      <w:proofErr w:type="gramStart"/>
      <w:r w:rsidR="00D41E2C" w:rsidRPr="00D41E2C">
        <w:rPr>
          <w:lang w:val="en-US" w:eastAsia="ja-JP"/>
        </w:rPr>
        <w:t>;</w:t>
      </w:r>
      <w:proofErr w:type="gramEnd"/>
    </w:p>
    <w:p w14:paraId="326E4388" w14:textId="77777777" w:rsidR="002120E3" w:rsidRDefault="00643555" w:rsidP="00643555">
      <w:pPr>
        <w:ind w:left="852" w:hanging="568"/>
        <w:jc w:val="both"/>
        <w:rPr>
          <w:lang w:val="en-US" w:eastAsia="ja-JP"/>
        </w:rPr>
      </w:pPr>
      <w:r>
        <w:rPr>
          <w:lang w:val="en-US" w:eastAsia="ja-JP"/>
        </w:rPr>
        <w:t>Alt. 2:</w:t>
      </w:r>
      <w:r>
        <w:rPr>
          <w:lang w:val="en-US" w:eastAsia="ja-JP"/>
        </w:rPr>
        <w:tab/>
      </w:r>
      <w:r w:rsidRPr="00643555">
        <w:rPr>
          <w:lang w:val="en-US" w:eastAsia="ja-JP"/>
        </w:rPr>
        <w:t>Change the 3GPP limits to align with CEPT</w:t>
      </w:r>
      <w:r w:rsidR="002120E3">
        <w:rPr>
          <w:lang w:val="en-US" w:eastAsia="ja-JP"/>
        </w:rPr>
        <w:t>/ECC</w:t>
      </w:r>
      <w:r w:rsidRPr="00643555">
        <w:rPr>
          <w:lang w:val="en-US" w:eastAsia="ja-JP"/>
        </w:rPr>
        <w:t xml:space="preserve"> and add a regional requirement for Japan</w:t>
      </w:r>
      <w:r w:rsidR="002120E3">
        <w:rPr>
          <w:lang w:val="en-US" w:eastAsia="ja-JP"/>
        </w:rPr>
        <w:t>ese regulation</w:t>
      </w:r>
      <w:r w:rsidRPr="00643555">
        <w:rPr>
          <w:lang w:val="en-US" w:eastAsia="ja-JP"/>
        </w:rPr>
        <w:t xml:space="preserve">. </w:t>
      </w:r>
      <w:r w:rsidR="002120E3" w:rsidRPr="00643555">
        <w:rPr>
          <w:lang w:val="en-US" w:eastAsia="ja-JP"/>
        </w:rPr>
        <w:t xml:space="preserve">And </w:t>
      </w:r>
      <w:r w:rsidR="002120E3">
        <w:rPr>
          <w:lang w:val="en-US" w:eastAsia="ja-JP"/>
        </w:rPr>
        <w:t>after revising Japanese regulation for alignment, remove</w:t>
      </w:r>
      <w:r w:rsidR="002120E3" w:rsidRPr="002120E3">
        <w:rPr>
          <w:lang w:val="en-US" w:eastAsia="ja-JP"/>
        </w:rPr>
        <w:t xml:space="preserve"> </w:t>
      </w:r>
      <w:r w:rsidR="002120E3" w:rsidRPr="00643555">
        <w:rPr>
          <w:lang w:val="en-US" w:eastAsia="ja-JP"/>
        </w:rPr>
        <w:t>regional requirement</w:t>
      </w:r>
      <w:r w:rsidR="002120E3">
        <w:rPr>
          <w:lang w:val="en-US" w:eastAsia="ja-JP"/>
        </w:rPr>
        <w:t xml:space="preserve"> from the 3GPP specifications</w:t>
      </w:r>
      <w:proofErr w:type="gramStart"/>
      <w:r w:rsidR="002120E3">
        <w:rPr>
          <w:lang w:val="en-US" w:eastAsia="ja-JP"/>
        </w:rPr>
        <w:t>;</w:t>
      </w:r>
      <w:proofErr w:type="gramEnd"/>
    </w:p>
    <w:p w14:paraId="4B218535" w14:textId="77777777" w:rsidR="00643555" w:rsidRDefault="00643555" w:rsidP="00643555">
      <w:pPr>
        <w:ind w:left="852" w:hanging="568"/>
        <w:jc w:val="both"/>
        <w:rPr>
          <w:lang w:val="en-US" w:eastAsia="ja-JP"/>
        </w:rPr>
      </w:pPr>
      <w:r>
        <w:rPr>
          <w:lang w:val="en-US" w:eastAsia="ja-JP"/>
        </w:rPr>
        <w:t>Alt. 3:</w:t>
      </w:r>
      <w:r>
        <w:rPr>
          <w:lang w:val="en-US" w:eastAsia="ja-JP"/>
        </w:rPr>
        <w:tab/>
      </w:r>
      <w:r w:rsidRPr="00643555">
        <w:rPr>
          <w:lang w:val="en-US" w:eastAsia="ja-JP"/>
        </w:rPr>
        <w:t>Change the 3GPP limits to align with CEPT</w:t>
      </w:r>
      <w:r w:rsidR="002120E3">
        <w:rPr>
          <w:lang w:val="en-US" w:eastAsia="ja-JP"/>
        </w:rPr>
        <w:t>/ECC</w:t>
      </w:r>
      <w:r w:rsidRPr="00643555">
        <w:rPr>
          <w:lang w:val="en-US" w:eastAsia="ja-JP"/>
        </w:rPr>
        <w:t xml:space="preserve"> and add editor’s note for Japan</w:t>
      </w:r>
      <w:r w:rsidR="002120E3">
        <w:rPr>
          <w:lang w:val="en-US" w:eastAsia="ja-JP"/>
        </w:rPr>
        <w:t>ese regulation</w:t>
      </w:r>
      <w:r w:rsidRPr="00643555">
        <w:rPr>
          <w:lang w:val="en-US" w:eastAsia="ja-JP"/>
        </w:rPr>
        <w:t xml:space="preserve">. And </w:t>
      </w:r>
      <w:r w:rsidR="002120E3">
        <w:rPr>
          <w:lang w:val="en-US" w:eastAsia="ja-JP"/>
        </w:rPr>
        <w:t>after revising Japanese regulation for alignment, remove</w:t>
      </w:r>
      <w:r w:rsidRPr="00643555">
        <w:rPr>
          <w:lang w:val="en-US" w:eastAsia="ja-JP"/>
        </w:rPr>
        <w:t xml:space="preserve"> the editor’s note</w:t>
      </w:r>
      <w:r w:rsidR="002120E3">
        <w:rPr>
          <w:lang w:val="en-US" w:eastAsia="ja-JP"/>
        </w:rPr>
        <w:t xml:space="preserve"> from the 3GPP specifications</w:t>
      </w:r>
      <w:proofErr w:type="gramStart"/>
      <w:r w:rsidR="002120E3">
        <w:rPr>
          <w:lang w:val="en-US" w:eastAsia="ja-JP"/>
        </w:rPr>
        <w:t>;</w:t>
      </w:r>
      <w:proofErr w:type="gramEnd"/>
    </w:p>
    <w:p w14:paraId="6000230F" w14:textId="77777777" w:rsidR="002120E3" w:rsidRDefault="002120E3" w:rsidP="002120E3">
      <w:pPr>
        <w:ind w:left="852" w:hanging="568"/>
        <w:jc w:val="both"/>
        <w:rPr>
          <w:lang w:val="en-US" w:eastAsia="ja-JP"/>
        </w:rPr>
      </w:pPr>
      <w:r>
        <w:rPr>
          <w:lang w:val="en-US" w:eastAsia="ja-JP"/>
        </w:rPr>
        <w:t>Alt. 4:</w:t>
      </w:r>
      <w:r>
        <w:rPr>
          <w:lang w:val="en-US" w:eastAsia="ja-JP"/>
        </w:rPr>
        <w:tab/>
      </w:r>
      <w:r w:rsidRPr="00643555">
        <w:rPr>
          <w:lang w:val="en-US" w:eastAsia="ja-JP"/>
        </w:rPr>
        <w:t>Change the 3GPP limits to align with CEPT</w:t>
      </w:r>
      <w:r>
        <w:rPr>
          <w:lang w:val="en-US" w:eastAsia="ja-JP"/>
        </w:rPr>
        <w:t>/ECC</w:t>
      </w:r>
      <w:r w:rsidRPr="00643555">
        <w:rPr>
          <w:lang w:val="en-US" w:eastAsia="ja-JP"/>
        </w:rPr>
        <w:t xml:space="preserve"> and add </w:t>
      </w:r>
      <w:r>
        <w:rPr>
          <w:lang w:val="en-US" w:eastAsia="ja-JP"/>
        </w:rPr>
        <w:t>a note</w:t>
      </w:r>
      <w:r w:rsidRPr="00643555">
        <w:rPr>
          <w:lang w:val="en-US" w:eastAsia="ja-JP"/>
        </w:rPr>
        <w:t xml:space="preserve"> for Japan</w:t>
      </w:r>
      <w:r>
        <w:rPr>
          <w:lang w:val="en-US" w:eastAsia="ja-JP"/>
        </w:rPr>
        <w:t>ese regulation in chairman’s note</w:t>
      </w:r>
      <w:r w:rsidRPr="00643555">
        <w:rPr>
          <w:lang w:val="en-US" w:eastAsia="ja-JP"/>
        </w:rPr>
        <w:t>.</w:t>
      </w:r>
    </w:p>
    <w:p w14:paraId="004DEA5E" w14:textId="77777777" w:rsidR="00643555" w:rsidRDefault="00643555" w:rsidP="006613B0">
      <w:pPr>
        <w:jc w:val="both"/>
        <w:rPr>
          <w:lang w:val="en-US" w:eastAsia="ja-JP"/>
        </w:rPr>
      </w:pPr>
      <w:r w:rsidRPr="00643555">
        <w:rPr>
          <w:lang w:val="en-US" w:eastAsia="ja-JP"/>
        </w:rPr>
        <w:t>For Alt</w:t>
      </w:r>
      <w:r w:rsidR="002120E3">
        <w:rPr>
          <w:lang w:val="en-US" w:eastAsia="ja-JP"/>
        </w:rPr>
        <w:t>.</w:t>
      </w:r>
      <w:r w:rsidRPr="00643555">
        <w:rPr>
          <w:lang w:val="en-US" w:eastAsia="ja-JP"/>
        </w:rPr>
        <w:t xml:space="preserve"> 1, this </w:t>
      </w:r>
      <w:r>
        <w:rPr>
          <w:lang w:val="en-US" w:eastAsia="ja-JP"/>
        </w:rPr>
        <w:t xml:space="preserve">approach </w:t>
      </w:r>
      <w:r w:rsidRPr="00643555">
        <w:rPr>
          <w:lang w:val="en-US" w:eastAsia="ja-JP"/>
        </w:rPr>
        <w:t xml:space="preserve">is similar </w:t>
      </w:r>
      <w:r>
        <w:rPr>
          <w:lang w:val="en-US" w:eastAsia="ja-JP"/>
        </w:rPr>
        <w:t>as</w:t>
      </w:r>
      <w:r w:rsidRPr="00643555">
        <w:rPr>
          <w:lang w:val="en-US" w:eastAsia="ja-JP"/>
        </w:rPr>
        <w:t xml:space="preserve"> Tx spurious emissions requirements</w:t>
      </w:r>
      <w:r w:rsidR="002120E3">
        <w:rPr>
          <w:lang w:val="en-US" w:eastAsia="ja-JP"/>
        </w:rPr>
        <w:t xml:space="preserve"> since currently Tx spurious emissions for BS is defined for Cat.A and Cat.B separately</w:t>
      </w:r>
      <w:r w:rsidRPr="00643555">
        <w:rPr>
          <w:lang w:val="en-US" w:eastAsia="ja-JP"/>
        </w:rPr>
        <w:t xml:space="preserve">. However, these categories are defined in the ITU-R Recommendations, </w:t>
      </w:r>
      <w:r w:rsidRPr="00643555">
        <w:rPr>
          <w:lang w:val="en-US" w:eastAsia="ja-JP"/>
        </w:rPr>
        <w:lastRenderedPageBreak/>
        <w:t xml:space="preserve">which can be confusing if Cat.A regional regulations temporarily refer to Cat.B </w:t>
      </w:r>
      <w:r>
        <w:rPr>
          <w:lang w:val="en-US" w:eastAsia="ja-JP"/>
        </w:rPr>
        <w:t>limits</w:t>
      </w:r>
      <w:r w:rsidRPr="00643555">
        <w:rPr>
          <w:lang w:val="en-US" w:eastAsia="ja-JP"/>
        </w:rPr>
        <w:t xml:space="preserve"> in the 3GPP specification. This </w:t>
      </w:r>
      <w:r>
        <w:rPr>
          <w:lang w:val="en-US" w:eastAsia="ja-JP"/>
        </w:rPr>
        <w:t>approach might</w:t>
      </w:r>
      <w:r w:rsidRPr="00643555">
        <w:rPr>
          <w:lang w:val="en-US" w:eastAsia="ja-JP"/>
        </w:rPr>
        <w:t xml:space="preserve"> not be appropriate considering that </w:t>
      </w:r>
      <w:r>
        <w:rPr>
          <w:lang w:val="en-US" w:eastAsia="ja-JP"/>
        </w:rPr>
        <w:t xml:space="preserve">Cat.A and Cat.B will be removed from 3GPP Rx spurious emissions requirements </w:t>
      </w:r>
      <w:r w:rsidRPr="00643555">
        <w:rPr>
          <w:lang w:val="en-US" w:eastAsia="ja-JP"/>
        </w:rPr>
        <w:t>after the Japanese regulatory requirements have been revised</w:t>
      </w:r>
      <w:r>
        <w:rPr>
          <w:lang w:val="en-US" w:eastAsia="ja-JP"/>
        </w:rPr>
        <w:t xml:space="preserve"> for alignment with CEPT</w:t>
      </w:r>
      <w:r w:rsidR="002120E3">
        <w:rPr>
          <w:lang w:val="en-US" w:eastAsia="ja-JP"/>
        </w:rPr>
        <w:t>/ECC</w:t>
      </w:r>
      <w:r>
        <w:rPr>
          <w:lang w:val="en-US" w:eastAsia="ja-JP"/>
        </w:rPr>
        <w:t xml:space="preserve"> limits</w:t>
      </w:r>
      <w:r w:rsidRPr="00643555">
        <w:rPr>
          <w:lang w:val="en-US" w:eastAsia="ja-JP"/>
        </w:rPr>
        <w:t>.</w:t>
      </w:r>
    </w:p>
    <w:p w14:paraId="4824CB8D" w14:textId="77777777" w:rsidR="00643555" w:rsidRPr="00643555" w:rsidRDefault="00643555" w:rsidP="006613B0">
      <w:pPr>
        <w:jc w:val="both"/>
        <w:rPr>
          <w:lang w:val="en-US" w:eastAsia="ja-JP"/>
        </w:rPr>
      </w:pPr>
      <w:r>
        <w:rPr>
          <w:rFonts w:hint="eastAsia"/>
          <w:lang w:val="en-US" w:eastAsia="ja-JP"/>
        </w:rPr>
        <w:t>For Alt.</w:t>
      </w:r>
      <w:r w:rsidR="002120E3">
        <w:rPr>
          <w:lang w:val="en-US" w:eastAsia="ja-JP"/>
        </w:rPr>
        <w:t xml:space="preserve"> </w:t>
      </w:r>
      <w:r>
        <w:rPr>
          <w:rFonts w:hint="eastAsia"/>
          <w:lang w:val="en-US" w:eastAsia="ja-JP"/>
        </w:rPr>
        <w:t xml:space="preserve">2, </w:t>
      </w:r>
      <w:r w:rsidRPr="00643555">
        <w:rPr>
          <w:lang w:val="en-US" w:eastAsia="ja-JP"/>
        </w:rPr>
        <w:t xml:space="preserve">this approach is suitable for explicitly maintaining current limits </w:t>
      </w:r>
      <w:r>
        <w:rPr>
          <w:lang w:val="en-US" w:eastAsia="ja-JP"/>
        </w:rPr>
        <w:t>for the</w:t>
      </w:r>
      <w:r w:rsidRPr="00643555">
        <w:rPr>
          <w:lang w:val="en-US" w:eastAsia="ja-JP"/>
        </w:rPr>
        <w:t xml:space="preserve"> regulatory requirements that refer to current limits.</w:t>
      </w:r>
      <w:r>
        <w:rPr>
          <w:lang w:val="en-US" w:eastAsia="ja-JP"/>
        </w:rPr>
        <w:t xml:space="preserve"> </w:t>
      </w:r>
      <w:r w:rsidRPr="00643555">
        <w:rPr>
          <w:lang w:val="en-US" w:eastAsia="ja-JP"/>
        </w:rPr>
        <w:t>However, after the Japanese regulatory requirements have been revised</w:t>
      </w:r>
      <w:r>
        <w:rPr>
          <w:lang w:val="en-US" w:eastAsia="ja-JP"/>
        </w:rPr>
        <w:t xml:space="preserve"> for alignment with CEPT limits</w:t>
      </w:r>
      <w:r w:rsidRPr="00643555">
        <w:rPr>
          <w:lang w:val="en-US" w:eastAsia="ja-JP"/>
        </w:rPr>
        <w:t xml:space="preserve">, </w:t>
      </w:r>
      <w:r>
        <w:rPr>
          <w:lang w:val="en-US" w:eastAsia="ja-JP"/>
        </w:rPr>
        <w:t xml:space="preserve">the specification need to be revised again to </w:t>
      </w:r>
      <w:r w:rsidRPr="00643555">
        <w:rPr>
          <w:lang w:val="en-US" w:eastAsia="ja-JP"/>
        </w:rPr>
        <w:t>remove regional requirements.</w:t>
      </w:r>
    </w:p>
    <w:p w14:paraId="46A1AAED" w14:textId="77777777" w:rsidR="00643555" w:rsidRDefault="00643555" w:rsidP="006613B0">
      <w:pPr>
        <w:jc w:val="both"/>
        <w:rPr>
          <w:lang w:val="en-US" w:eastAsia="ja-JP"/>
        </w:rPr>
      </w:pPr>
      <w:r>
        <w:rPr>
          <w:rFonts w:hint="eastAsia"/>
          <w:lang w:val="en-US" w:eastAsia="ja-JP"/>
        </w:rPr>
        <w:t>For Alt</w:t>
      </w:r>
      <w:r w:rsidR="002120E3">
        <w:rPr>
          <w:lang w:val="en-US" w:eastAsia="ja-JP"/>
        </w:rPr>
        <w:t>.</w:t>
      </w:r>
      <w:r>
        <w:rPr>
          <w:rFonts w:hint="eastAsia"/>
          <w:lang w:val="en-US" w:eastAsia="ja-JP"/>
        </w:rPr>
        <w:t xml:space="preserve"> 3, </w:t>
      </w:r>
      <w:r>
        <w:rPr>
          <w:lang w:val="en-US" w:eastAsia="ja-JP"/>
        </w:rPr>
        <w:t xml:space="preserve">this approach does not keep current </w:t>
      </w:r>
      <w:r w:rsidR="002120E3">
        <w:rPr>
          <w:lang w:val="en-US" w:eastAsia="ja-JP"/>
        </w:rPr>
        <w:t>requirements in the specification</w:t>
      </w:r>
      <w:r>
        <w:rPr>
          <w:lang w:val="en-US" w:eastAsia="ja-JP"/>
        </w:rPr>
        <w:t xml:space="preserve"> but it can be noted that original limits apply to the regulatory requirements until alignment with new limits in 3GPP. In addition, the editor's note</w:t>
      </w:r>
      <w:r w:rsidRPr="00643555">
        <w:rPr>
          <w:lang w:val="en-US" w:eastAsia="ja-JP"/>
        </w:rPr>
        <w:t xml:space="preserve"> can be easily deleted after the regulatory requirements change is complete, so the impact on the specification is very small.</w:t>
      </w:r>
    </w:p>
    <w:p w14:paraId="432731FF" w14:textId="77777777" w:rsidR="002120E3" w:rsidRDefault="002120E3" w:rsidP="006613B0">
      <w:pPr>
        <w:jc w:val="both"/>
        <w:rPr>
          <w:lang w:val="en-US" w:eastAsia="ja-JP"/>
        </w:rPr>
      </w:pPr>
      <w:r>
        <w:rPr>
          <w:lang w:val="en-US" w:eastAsia="ja-JP"/>
        </w:rPr>
        <w:t xml:space="preserve">For Alt. 4, this approach is more simplified way than Alt.2 and Alt.3. There is no impact to the specification but there might have risk that vendors miss the requirements applied in Japan. </w:t>
      </w:r>
    </w:p>
    <w:p w14:paraId="51B5CCB1" w14:textId="77777777" w:rsidR="002120E3" w:rsidRDefault="00643555" w:rsidP="006613B0">
      <w:pPr>
        <w:jc w:val="both"/>
        <w:rPr>
          <w:lang w:val="en-US" w:eastAsia="ja-JP"/>
        </w:rPr>
      </w:pPr>
      <w:r>
        <w:rPr>
          <w:lang w:val="en-US" w:eastAsia="ja-JP"/>
        </w:rPr>
        <w:t>From the above view, Alt. 2</w:t>
      </w:r>
      <w:r w:rsidR="002120E3">
        <w:rPr>
          <w:lang w:val="en-US" w:eastAsia="ja-JP"/>
        </w:rPr>
        <w:t>,</w:t>
      </w:r>
      <w:r>
        <w:rPr>
          <w:lang w:val="en-US" w:eastAsia="ja-JP"/>
        </w:rPr>
        <w:t xml:space="preserve"> Alt. 3</w:t>
      </w:r>
      <w:r w:rsidR="002120E3">
        <w:rPr>
          <w:lang w:val="en-US" w:eastAsia="ja-JP"/>
        </w:rPr>
        <w:t xml:space="preserve"> or Alt. 4</w:t>
      </w:r>
      <w:r>
        <w:rPr>
          <w:lang w:val="en-US" w:eastAsia="ja-JP"/>
        </w:rPr>
        <w:t xml:space="preserve"> is an appropriate approach. </w:t>
      </w:r>
      <w:r>
        <w:rPr>
          <w:rFonts w:hint="eastAsia"/>
          <w:lang w:val="en-US" w:eastAsia="ja-JP"/>
        </w:rPr>
        <w:t xml:space="preserve">The main motivation is </w:t>
      </w:r>
      <w:r>
        <w:rPr>
          <w:lang w:val="en-US" w:eastAsia="ja-JP"/>
        </w:rPr>
        <w:t xml:space="preserve">to avoid misleading that new limits can be applied to the regulatory requirement in Japan after new limits are implemented to TS 38.104 and TS 38.141-2 officially. We would like to note that even if revised limits, the regulatory requirements </w:t>
      </w:r>
      <w:proofErr w:type="gramStart"/>
      <w:r>
        <w:rPr>
          <w:lang w:val="en-US" w:eastAsia="ja-JP"/>
        </w:rPr>
        <w:t>will</w:t>
      </w:r>
      <w:proofErr w:type="gramEnd"/>
      <w:r>
        <w:rPr>
          <w:lang w:val="en-US" w:eastAsia="ja-JP"/>
        </w:rPr>
        <w:t xml:space="preserve"> be forced to all BS until the completion of modifying the regulatory requirements. </w:t>
      </w:r>
    </w:p>
    <w:p w14:paraId="467A7FF6" w14:textId="77777777" w:rsidR="00643555" w:rsidRDefault="002120E3" w:rsidP="006613B0">
      <w:pPr>
        <w:jc w:val="both"/>
        <w:rPr>
          <w:lang w:val="en-US" w:eastAsia="ja-JP"/>
        </w:rPr>
      </w:pPr>
      <w:r>
        <w:rPr>
          <w:lang w:val="en-US" w:eastAsia="ja-JP"/>
        </w:rPr>
        <w:t>For going forward, we would like to hear</w:t>
      </w:r>
      <w:r w:rsidR="00643555">
        <w:rPr>
          <w:lang w:val="en-US" w:eastAsia="ja-JP"/>
        </w:rPr>
        <w:t xml:space="preserve"> further feedback from vendors on which approach is better to avoid missing the regulatory requirements </w:t>
      </w:r>
      <w:r>
        <w:rPr>
          <w:lang w:val="en-US" w:eastAsia="ja-JP"/>
        </w:rPr>
        <w:t>that apply the current limits</w:t>
      </w:r>
      <w:r w:rsidR="00643555">
        <w:rPr>
          <w:lang w:val="en-US" w:eastAsia="ja-JP"/>
        </w:rPr>
        <w:t>.</w:t>
      </w:r>
    </w:p>
    <w:p w14:paraId="648BDC27" w14:textId="77777777" w:rsidR="002120E3" w:rsidRDefault="002120E3" w:rsidP="006613B0">
      <w:pPr>
        <w:jc w:val="both"/>
        <w:rPr>
          <w:b/>
          <w:lang w:val="en-US" w:eastAsia="ja-JP"/>
        </w:rPr>
      </w:pPr>
      <w:r w:rsidRPr="002120E3">
        <w:rPr>
          <w:rFonts w:hint="eastAsia"/>
          <w:b/>
          <w:lang w:val="en-US" w:eastAsia="ja-JP"/>
        </w:rPr>
        <w:t>Proposal</w:t>
      </w:r>
      <w:r w:rsidR="00D41E2C">
        <w:rPr>
          <w:b/>
          <w:lang w:val="en-US" w:eastAsia="ja-JP"/>
        </w:rPr>
        <w:t xml:space="preserve"> 2</w:t>
      </w:r>
      <w:r w:rsidRPr="002120E3">
        <w:rPr>
          <w:rFonts w:hint="eastAsia"/>
          <w:b/>
          <w:lang w:val="en-US" w:eastAsia="ja-JP"/>
        </w:rPr>
        <w:t xml:space="preserve">: </w:t>
      </w:r>
      <w:r>
        <w:rPr>
          <w:b/>
          <w:lang w:val="en-US" w:eastAsia="ja-JP"/>
        </w:rPr>
        <w:t>It is highly appreciated to provide</w:t>
      </w:r>
      <w:r w:rsidR="00D41E2C">
        <w:rPr>
          <w:b/>
          <w:lang w:val="en-US" w:eastAsia="ja-JP"/>
        </w:rPr>
        <w:t xml:space="preserve"> feedback</w:t>
      </w:r>
      <w:r>
        <w:rPr>
          <w:b/>
          <w:lang w:val="en-US" w:eastAsia="ja-JP"/>
        </w:rPr>
        <w:t xml:space="preserve"> on which of the following approaches is better for BS vendors and related companies:</w:t>
      </w:r>
    </w:p>
    <w:p w14:paraId="6489B190" w14:textId="77777777" w:rsidR="002120E3" w:rsidRPr="002120E3" w:rsidRDefault="002120E3" w:rsidP="002120E3">
      <w:pPr>
        <w:ind w:left="852" w:hanging="568"/>
        <w:jc w:val="both"/>
        <w:rPr>
          <w:b/>
          <w:lang w:val="en-US" w:eastAsia="ja-JP"/>
        </w:rPr>
      </w:pPr>
      <w:r w:rsidRPr="002120E3">
        <w:rPr>
          <w:b/>
          <w:lang w:val="en-US" w:eastAsia="ja-JP"/>
        </w:rPr>
        <w:t>Alt. 2:</w:t>
      </w:r>
      <w:r w:rsidRPr="002120E3">
        <w:rPr>
          <w:b/>
          <w:lang w:val="en-US" w:eastAsia="ja-JP"/>
        </w:rPr>
        <w:tab/>
        <w:t>Change the 3GPP limits to align with CEPT/ECC and add a regional requirement for Japanese regulation. And after revising Japanese regulation for alignment, remove regional requirement from the 3GPP specifications</w:t>
      </w:r>
      <w:proofErr w:type="gramStart"/>
      <w:r w:rsidRPr="002120E3">
        <w:rPr>
          <w:b/>
          <w:lang w:val="en-US" w:eastAsia="ja-JP"/>
        </w:rPr>
        <w:t>;</w:t>
      </w:r>
      <w:proofErr w:type="gramEnd"/>
    </w:p>
    <w:p w14:paraId="116DC2A6" w14:textId="77777777" w:rsidR="002120E3" w:rsidRPr="002120E3" w:rsidRDefault="002120E3" w:rsidP="002120E3">
      <w:pPr>
        <w:ind w:left="852" w:hanging="568"/>
        <w:jc w:val="both"/>
        <w:rPr>
          <w:b/>
          <w:lang w:val="en-US" w:eastAsia="ja-JP"/>
        </w:rPr>
      </w:pPr>
      <w:r w:rsidRPr="002120E3">
        <w:rPr>
          <w:b/>
          <w:lang w:val="en-US" w:eastAsia="ja-JP"/>
        </w:rPr>
        <w:t>Alt. 3:</w:t>
      </w:r>
      <w:r w:rsidRPr="002120E3">
        <w:rPr>
          <w:b/>
          <w:lang w:val="en-US" w:eastAsia="ja-JP"/>
        </w:rPr>
        <w:tab/>
        <w:t>Change the 3GPP limits to align with CEPT and add editor’s note for Japanese regulation. And after revising Japanese regulation for alignment, remove the editor’s note from the 3GPP specifications</w:t>
      </w:r>
      <w:proofErr w:type="gramStart"/>
      <w:r w:rsidRPr="002120E3">
        <w:rPr>
          <w:b/>
          <w:lang w:val="en-US" w:eastAsia="ja-JP"/>
        </w:rPr>
        <w:t>;</w:t>
      </w:r>
      <w:proofErr w:type="gramEnd"/>
    </w:p>
    <w:p w14:paraId="3AD10BE8" w14:textId="77777777" w:rsidR="002120E3" w:rsidRPr="002120E3" w:rsidRDefault="002120E3" w:rsidP="002120E3">
      <w:pPr>
        <w:ind w:left="852" w:hanging="568"/>
        <w:jc w:val="both"/>
        <w:rPr>
          <w:b/>
          <w:lang w:val="en-US" w:eastAsia="ja-JP"/>
        </w:rPr>
      </w:pPr>
      <w:r w:rsidRPr="002120E3">
        <w:rPr>
          <w:b/>
          <w:lang w:val="en-US" w:eastAsia="ja-JP"/>
        </w:rPr>
        <w:t>Alt. 4:</w:t>
      </w:r>
      <w:r w:rsidRPr="002120E3">
        <w:rPr>
          <w:b/>
          <w:lang w:val="en-US" w:eastAsia="ja-JP"/>
        </w:rPr>
        <w:tab/>
        <w:t>Change the 3GPP limits to align with CEPT and add a note for Japanese regulation in chairman’s note.</w:t>
      </w:r>
    </w:p>
    <w:p w14:paraId="00C2A691" w14:textId="77777777" w:rsidR="00A33BED" w:rsidRPr="00A33BED" w:rsidRDefault="00A33BED" w:rsidP="00A33BED">
      <w:pPr>
        <w:pStyle w:val="1"/>
      </w:pPr>
      <w:r>
        <w:t>3.</w:t>
      </w:r>
      <w:r>
        <w:tab/>
        <w:t>Conclusion</w:t>
      </w:r>
    </w:p>
    <w:p w14:paraId="467CAFA3" w14:textId="77777777" w:rsidR="00A33BED" w:rsidRDefault="00A33BED" w:rsidP="00A33BED">
      <w:pPr>
        <w:jc w:val="both"/>
        <w:rPr>
          <w:lang w:eastAsia="ja-JP"/>
        </w:rPr>
      </w:pPr>
      <w:r>
        <w:rPr>
          <w:lang w:eastAsia="ja-JP"/>
        </w:rPr>
        <w:t>In this contribution, we</w:t>
      </w:r>
      <w:r w:rsidR="002120E3">
        <w:rPr>
          <w:lang w:eastAsia="ja-JP"/>
        </w:rPr>
        <w:t xml:space="preserve"> provide our views on the alignment for Rx spurious emissions</w:t>
      </w:r>
      <w:r>
        <w:rPr>
          <w:lang w:eastAsia="ja-JP"/>
        </w:rPr>
        <w:t>.</w:t>
      </w:r>
      <w:r w:rsidR="002120E3">
        <w:rPr>
          <w:lang w:eastAsia="ja-JP"/>
        </w:rPr>
        <w:t xml:space="preserve"> The following proposal is obtained.</w:t>
      </w:r>
    </w:p>
    <w:p w14:paraId="386AEB70" w14:textId="77777777" w:rsidR="00D41E2C" w:rsidRPr="002120E3" w:rsidRDefault="00D41E2C" w:rsidP="00D41E2C">
      <w:pPr>
        <w:jc w:val="both"/>
        <w:rPr>
          <w:b/>
          <w:lang w:val="en-US" w:eastAsia="ja-JP"/>
        </w:rPr>
      </w:pPr>
      <w:r>
        <w:rPr>
          <w:b/>
          <w:lang w:val="en-US" w:eastAsia="ja-JP"/>
        </w:rPr>
        <w:t>Proposal 1: Before alignment, it is necessary to clarify the technical background why FR1 FDD/TDD and FR2 TDD Rx spurious emissions requirements need to be changed.</w:t>
      </w:r>
    </w:p>
    <w:p w14:paraId="78D70A37" w14:textId="77777777" w:rsidR="00D41E2C" w:rsidRDefault="00D41E2C" w:rsidP="00D41E2C">
      <w:pPr>
        <w:jc w:val="both"/>
        <w:rPr>
          <w:b/>
          <w:lang w:val="en-US" w:eastAsia="ja-JP"/>
        </w:rPr>
      </w:pPr>
      <w:r w:rsidRPr="002120E3">
        <w:rPr>
          <w:rFonts w:hint="eastAsia"/>
          <w:b/>
          <w:lang w:val="en-US" w:eastAsia="ja-JP"/>
        </w:rPr>
        <w:t>Proposal</w:t>
      </w:r>
      <w:r>
        <w:rPr>
          <w:b/>
          <w:lang w:val="en-US" w:eastAsia="ja-JP"/>
        </w:rPr>
        <w:t xml:space="preserve"> 2</w:t>
      </w:r>
      <w:r w:rsidRPr="002120E3">
        <w:rPr>
          <w:rFonts w:hint="eastAsia"/>
          <w:b/>
          <w:lang w:val="en-US" w:eastAsia="ja-JP"/>
        </w:rPr>
        <w:t xml:space="preserve">: </w:t>
      </w:r>
      <w:r>
        <w:rPr>
          <w:b/>
          <w:lang w:val="en-US" w:eastAsia="ja-JP"/>
        </w:rPr>
        <w:t>It is highly appreciated to provide feedback on which of the following approaches is better for BS vendors and related companies:</w:t>
      </w:r>
    </w:p>
    <w:p w14:paraId="6CAFDAB6" w14:textId="77777777" w:rsidR="00D41E2C" w:rsidRPr="002120E3" w:rsidRDefault="00D41E2C" w:rsidP="00D41E2C">
      <w:pPr>
        <w:ind w:left="852" w:hanging="568"/>
        <w:jc w:val="both"/>
        <w:rPr>
          <w:b/>
          <w:lang w:val="en-US" w:eastAsia="ja-JP"/>
        </w:rPr>
      </w:pPr>
      <w:r w:rsidRPr="002120E3">
        <w:rPr>
          <w:b/>
          <w:lang w:val="en-US" w:eastAsia="ja-JP"/>
        </w:rPr>
        <w:t>Alt. 2:</w:t>
      </w:r>
      <w:r w:rsidRPr="002120E3">
        <w:rPr>
          <w:b/>
          <w:lang w:val="en-US" w:eastAsia="ja-JP"/>
        </w:rPr>
        <w:tab/>
        <w:t>Change the 3GPP limits to align with CEPT/ECC and add a regional requirement for Japanese regulation. And after revising Japanese regulation for alignment, remove regional requirement from the 3GPP specifications</w:t>
      </w:r>
      <w:proofErr w:type="gramStart"/>
      <w:r w:rsidRPr="002120E3">
        <w:rPr>
          <w:b/>
          <w:lang w:val="en-US" w:eastAsia="ja-JP"/>
        </w:rPr>
        <w:t>;</w:t>
      </w:r>
      <w:proofErr w:type="gramEnd"/>
    </w:p>
    <w:p w14:paraId="31666657" w14:textId="77777777" w:rsidR="00D41E2C" w:rsidRPr="002120E3" w:rsidRDefault="00D41E2C" w:rsidP="00D41E2C">
      <w:pPr>
        <w:ind w:left="852" w:hanging="568"/>
        <w:jc w:val="both"/>
        <w:rPr>
          <w:b/>
          <w:lang w:val="en-US" w:eastAsia="ja-JP"/>
        </w:rPr>
      </w:pPr>
      <w:r w:rsidRPr="002120E3">
        <w:rPr>
          <w:b/>
          <w:lang w:val="en-US" w:eastAsia="ja-JP"/>
        </w:rPr>
        <w:t>Alt. 3:</w:t>
      </w:r>
      <w:r w:rsidRPr="002120E3">
        <w:rPr>
          <w:b/>
          <w:lang w:val="en-US" w:eastAsia="ja-JP"/>
        </w:rPr>
        <w:tab/>
        <w:t>Change the 3GPP limits to align with CEPT and add editor’s note for Japanese regulation. And after revising Japanese regulation for alignment, remove the editor’s note from the 3GPP specifications</w:t>
      </w:r>
      <w:proofErr w:type="gramStart"/>
      <w:r w:rsidRPr="002120E3">
        <w:rPr>
          <w:b/>
          <w:lang w:val="en-US" w:eastAsia="ja-JP"/>
        </w:rPr>
        <w:t>;</w:t>
      </w:r>
      <w:proofErr w:type="gramEnd"/>
    </w:p>
    <w:p w14:paraId="4070D293" w14:textId="77777777" w:rsidR="00D41E2C" w:rsidRPr="002120E3" w:rsidRDefault="00D41E2C" w:rsidP="00D41E2C">
      <w:pPr>
        <w:ind w:left="852" w:hanging="568"/>
        <w:jc w:val="both"/>
        <w:rPr>
          <w:b/>
          <w:lang w:val="en-US" w:eastAsia="ja-JP"/>
        </w:rPr>
      </w:pPr>
      <w:r w:rsidRPr="002120E3">
        <w:rPr>
          <w:b/>
          <w:lang w:val="en-US" w:eastAsia="ja-JP"/>
        </w:rPr>
        <w:t>Alt. 4:</w:t>
      </w:r>
      <w:r w:rsidRPr="002120E3">
        <w:rPr>
          <w:b/>
          <w:lang w:val="en-US" w:eastAsia="ja-JP"/>
        </w:rPr>
        <w:tab/>
        <w:t>Change the 3GPP limits to align with CEPT and add a note for Japanese regulation in chairman’s note.</w:t>
      </w:r>
    </w:p>
    <w:p w14:paraId="434B295E" w14:textId="77777777" w:rsidR="00A33BED" w:rsidRPr="00BF7F29" w:rsidRDefault="00A33BED" w:rsidP="00A33BED">
      <w:pPr>
        <w:pStyle w:val="1"/>
        <w:ind w:left="432" w:hanging="432"/>
        <w:rPr>
          <w:lang w:eastAsia="ja-JP"/>
        </w:rPr>
      </w:pPr>
      <w:r>
        <w:rPr>
          <w:rFonts w:hint="eastAsia"/>
          <w:lang w:eastAsia="ja-JP"/>
        </w:rPr>
        <w:t>References</w:t>
      </w:r>
    </w:p>
    <w:p w14:paraId="357EDE6E" w14:textId="77777777" w:rsidR="002F1AAE" w:rsidRDefault="00172CC8" w:rsidP="00172CC8">
      <w:pPr>
        <w:numPr>
          <w:ilvl w:val="0"/>
          <w:numId w:val="1"/>
        </w:numPr>
        <w:rPr>
          <w:lang w:val="en-US" w:eastAsia="ja-JP"/>
        </w:rPr>
      </w:pPr>
      <w:r w:rsidRPr="00172CC8">
        <w:rPr>
          <w:lang w:val="en-US" w:eastAsia="ja-JP"/>
        </w:rPr>
        <w:t>R4-1908452</w:t>
      </w:r>
      <w:r>
        <w:rPr>
          <w:lang w:val="en-US" w:eastAsia="ja-JP"/>
        </w:rPr>
        <w:t>, “</w:t>
      </w:r>
      <w:r w:rsidRPr="00172CC8">
        <w:rPr>
          <w:lang w:val="en-US" w:eastAsia="ja-JP"/>
        </w:rPr>
        <w:t>Alignment of Receiver spurious emission requirements for AAS BS</w:t>
      </w:r>
      <w:r>
        <w:rPr>
          <w:lang w:val="en-US" w:eastAsia="ja-JP"/>
        </w:rPr>
        <w:t xml:space="preserve">”, </w:t>
      </w:r>
      <w:r w:rsidRPr="00172CC8">
        <w:rPr>
          <w:lang w:val="en-US" w:eastAsia="ja-JP"/>
        </w:rPr>
        <w:t>Ericsson</w:t>
      </w:r>
      <w:r w:rsidR="002F1AAE">
        <w:rPr>
          <w:lang w:val="en-US" w:eastAsia="ja-JP"/>
        </w:rPr>
        <w:t>, RAN</w:t>
      </w:r>
      <w:r w:rsidR="00A24F23">
        <w:rPr>
          <w:lang w:val="en-US" w:eastAsia="ja-JP"/>
        </w:rPr>
        <w:t>4 #92</w:t>
      </w:r>
      <w:r w:rsidR="002F1AAE">
        <w:rPr>
          <w:lang w:val="en-US" w:eastAsia="ja-JP"/>
        </w:rPr>
        <w:t xml:space="preserve">, </w:t>
      </w:r>
      <w:r w:rsidR="00A24F23">
        <w:rPr>
          <w:lang w:val="en-US" w:eastAsia="ja-JP"/>
        </w:rPr>
        <w:t>August</w:t>
      </w:r>
      <w:r w:rsidR="002F1AAE">
        <w:rPr>
          <w:lang w:val="en-US" w:eastAsia="ja-JP"/>
        </w:rPr>
        <w:t xml:space="preserve"> 2019</w:t>
      </w:r>
    </w:p>
    <w:sectPr w:rsidR="002F1AA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BDD71" w14:textId="77777777" w:rsidR="009D3539" w:rsidRDefault="009D3539">
      <w:r>
        <w:separator/>
      </w:r>
    </w:p>
  </w:endnote>
  <w:endnote w:type="continuationSeparator" w:id="0">
    <w:p w14:paraId="5870BCA4" w14:textId="77777777" w:rsidR="009D3539" w:rsidRDefault="009D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w:altName w:val="ＭＳ ゴシック"/>
    <w:charset w:val="80"/>
    <w:family w:val="modern"/>
    <w:pitch w:val="variable"/>
    <w:sig w:usb0="E00002FF" w:usb1="2AC7FDFF" w:usb2="00000016" w:usb3="00000000" w:csb0="0002009F" w:csb1="00000000"/>
  </w:font>
  <w:font w:name="Tms Rmn">
    <w:altName w:val="Times Roman"/>
    <w:panose1 w:val="00000000000000000000"/>
    <w:charset w:val="4D"/>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27EF49" w14:textId="77777777" w:rsidR="009D3539" w:rsidRDefault="009D3539">
      <w:r>
        <w:separator/>
      </w:r>
    </w:p>
  </w:footnote>
  <w:footnote w:type="continuationSeparator" w:id="0">
    <w:p w14:paraId="00238618" w14:textId="77777777" w:rsidR="009D3539" w:rsidRDefault="009D353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32pt;height:24pt" o:bullet="t">
        <v:imagedata r:id="rId1" o:title="art1A8B"/>
      </v:shape>
    </w:pict>
  </w:numPicBullet>
  <w:abstractNum w:abstractNumId="0">
    <w:nsid w:val="FFFFFF1D"/>
    <w:multiLevelType w:val="multilevel"/>
    <w:tmpl w:val="2EA62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4">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8">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9">
    <w:nsid w:val="4C4536C4"/>
    <w:multiLevelType w:val="hybridMultilevel"/>
    <w:tmpl w:val="6212E5A4"/>
    <w:lvl w:ilvl="0" w:tplc="32427CA4">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2C0D3D"/>
    <w:multiLevelType w:val="hybridMultilevel"/>
    <w:tmpl w:val="FD6809CA"/>
    <w:lvl w:ilvl="0" w:tplc="18A6EBC8">
      <w:numFmt w:val="bullet"/>
      <w:lvlText w:val="-"/>
      <w:lvlJc w:val="left"/>
      <w:pPr>
        <w:ind w:left="764" w:hanging="480"/>
      </w:pPr>
      <w:rPr>
        <w:rFonts w:ascii="Times New Roman" w:eastAsia="Times New Roman" w:hAnsi="Times New Roman" w:cs="Times New Roman" w:hint="default"/>
      </w:rPr>
    </w:lvl>
    <w:lvl w:ilvl="1" w:tplc="0409000B" w:tentative="1">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2">
    <w:nsid w:val="5A345654"/>
    <w:multiLevelType w:val="hybridMultilevel"/>
    <w:tmpl w:val="39B6759A"/>
    <w:lvl w:ilvl="0" w:tplc="2F1C8C86">
      <w:start w:val="1"/>
      <w:numFmt w:val="lowerLetter"/>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6">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7">
    <w:nsid w:val="6AE47EA7"/>
    <w:multiLevelType w:val="hybridMultilevel"/>
    <w:tmpl w:val="499688C6"/>
    <w:lvl w:ilvl="0" w:tplc="18A6EBC8">
      <w:numFmt w:val="bullet"/>
      <w:lvlText w:val="-"/>
      <w:lvlJc w:val="left"/>
      <w:pPr>
        <w:ind w:left="1897" w:hanging="480"/>
      </w:pPr>
      <w:rPr>
        <w:rFonts w:ascii="Times New Roman" w:eastAsia="Times New Roman" w:hAnsi="Times New Roman" w:cs="Times New Roman" w:hint="default"/>
      </w:rPr>
    </w:lvl>
    <w:lvl w:ilvl="1" w:tplc="0409000B">
      <w:start w:val="1"/>
      <w:numFmt w:val="bullet"/>
      <w:lvlText w:val=""/>
      <w:lvlJc w:val="left"/>
      <w:pPr>
        <w:ind w:left="2377" w:hanging="480"/>
      </w:pPr>
      <w:rPr>
        <w:rFonts w:ascii="Wingdings" w:hAnsi="Wingdings" w:hint="default"/>
      </w:rPr>
    </w:lvl>
    <w:lvl w:ilvl="2" w:tplc="0409000D"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B" w:tentative="1">
      <w:start w:val="1"/>
      <w:numFmt w:val="bullet"/>
      <w:lvlText w:val=""/>
      <w:lvlJc w:val="left"/>
      <w:pPr>
        <w:ind w:left="3817" w:hanging="480"/>
      </w:pPr>
      <w:rPr>
        <w:rFonts w:ascii="Wingdings" w:hAnsi="Wingdings" w:hint="default"/>
      </w:rPr>
    </w:lvl>
    <w:lvl w:ilvl="5" w:tplc="0409000D"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B" w:tentative="1">
      <w:start w:val="1"/>
      <w:numFmt w:val="bullet"/>
      <w:lvlText w:val=""/>
      <w:lvlJc w:val="left"/>
      <w:pPr>
        <w:ind w:left="5257" w:hanging="480"/>
      </w:pPr>
      <w:rPr>
        <w:rFonts w:ascii="Wingdings" w:hAnsi="Wingdings" w:hint="default"/>
      </w:rPr>
    </w:lvl>
    <w:lvl w:ilvl="8" w:tplc="0409000D" w:tentative="1">
      <w:start w:val="1"/>
      <w:numFmt w:val="bullet"/>
      <w:lvlText w:val=""/>
      <w:lvlJc w:val="left"/>
      <w:pPr>
        <w:ind w:left="5737" w:hanging="480"/>
      </w:pPr>
      <w:rPr>
        <w:rFonts w:ascii="Wingdings" w:hAnsi="Wingdings" w:hint="default"/>
      </w:rPr>
    </w:lvl>
  </w:abstractNum>
  <w:abstractNum w:abstractNumId="18">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9">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8"/>
  </w:num>
  <w:num w:numId="4">
    <w:abstractNumId w:val="19"/>
  </w:num>
  <w:num w:numId="5">
    <w:abstractNumId w:val="5"/>
  </w:num>
  <w:num w:numId="6">
    <w:abstractNumId w:val="13"/>
  </w:num>
  <w:num w:numId="7">
    <w:abstractNumId w:val="8"/>
  </w:num>
  <w:num w:numId="8">
    <w:abstractNumId w:val="7"/>
  </w:num>
  <w:num w:numId="9">
    <w:abstractNumId w:val="1"/>
  </w:num>
  <w:num w:numId="10">
    <w:abstractNumId w:val="16"/>
  </w:num>
  <w:num w:numId="11">
    <w:abstractNumId w:val="3"/>
  </w:num>
  <w:num w:numId="12">
    <w:abstractNumId w:val="15"/>
  </w:num>
  <w:num w:numId="13">
    <w:abstractNumId w:val="6"/>
  </w:num>
  <w:num w:numId="14">
    <w:abstractNumId w:val="12"/>
  </w:num>
  <w:num w:numId="15">
    <w:abstractNumId w:val="2"/>
  </w:num>
  <w:num w:numId="16">
    <w:abstractNumId w:val="0"/>
  </w:num>
  <w:num w:numId="17">
    <w:abstractNumId w:val="9"/>
  </w:num>
  <w:num w:numId="18">
    <w:abstractNumId w:val="11"/>
  </w:num>
  <w:num w:numId="19">
    <w:abstractNumId w:val="17"/>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proofState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1A81"/>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2839"/>
    <w:rsid w:val="00093E7E"/>
    <w:rsid w:val="00095795"/>
    <w:rsid w:val="00097D22"/>
    <w:rsid w:val="000A2C7E"/>
    <w:rsid w:val="000A45AC"/>
    <w:rsid w:val="000A6235"/>
    <w:rsid w:val="000A64DA"/>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0F70EE"/>
    <w:rsid w:val="0010127A"/>
    <w:rsid w:val="00102AFA"/>
    <w:rsid w:val="00106A9F"/>
    <w:rsid w:val="001072A8"/>
    <w:rsid w:val="0011424E"/>
    <w:rsid w:val="00114547"/>
    <w:rsid w:val="00117291"/>
    <w:rsid w:val="0012048E"/>
    <w:rsid w:val="00121E9D"/>
    <w:rsid w:val="00123571"/>
    <w:rsid w:val="00123B5C"/>
    <w:rsid w:val="00124082"/>
    <w:rsid w:val="001301B1"/>
    <w:rsid w:val="00130E89"/>
    <w:rsid w:val="00132D36"/>
    <w:rsid w:val="00137692"/>
    <w:rsid w:val="00141A2F"/>
    <w:rsid w:val="00142771"/>
    <w:rsid w:val="00142831"/>
    <w:rsid w:val="00142F43"/>
    <w:rsid w:val="00143316"/>
    <w:rsid w:val="00145505"/>
    <w:rsid w:val="00152C33"/>
    <w:rsid w:val="00153528"/>
    <w:rsid w:val="00160A47"/>
    <w:rsid w:val="00160B00"/>
    <w:rsid w:val="00162698"/>
    <w:rsid w:val="00162F78"/>
    <w:rsid w:val="001643AC"/>
    <w:rsid w:val="00164C6B"/>
    <w:rsid w:val="001653AE"/>
    <w:rsid w:val="00171980"/>
    <w:rsid w:val="00171D07"/>
    <w:rsid w:val="00172CC8"/>
    <w:rsid w:val="00173FCB"/>
    <w:rsid w:val="0017516C"/>
    <w:rsid w:val="00175AB9"/>
    <w:rsid w:val="00181060"/>
    <w:rsid w:val="00181490"/>
    <w:rsid w:val="00182304"/>
    <w:rsid w:val="0018379B"/>
    <w:rsid w:val="0018585B"/>
    <w:rsid w:val="00192CE3"/>
    <w:rsid w:val="00193116"/>
    <w:rsid w:val="001A08AA"/>
    <w:rsid w:val="001A1056"/>
    <w:rsid w:val="001A1DAC"/>
    <w:rsid w:val="001A3120"/>
    <w:rsid w:val="001B0237"/>
    <w:rsid w:val="001B1C3C"/>
    <w:rsid w:val="001B32BC"/>
    <w:rsid w:val="001B7510"/>
    <w:rsid w:val="001C1ADF"/>
    <w:rsid w:val="001C3A35"/>
    <w:rsid w:val="001C602C"/>
    <w:rsid w:val="001C67F1"/>
    <w:rsid w:val="001C7645"/>
    <w:rsid w:val="001C77FB"/>
    <w:rsid w:val="001D17FE"/>
    <w:rsid w:val="001D5FAC"/>
    <w:rsid w:val="001D61DA"/>
    <w:rsid w:val="001D6D1A"/>
    <w:rsid w:val="001D7B96"/>
    <w:rsid w:val="001E0240"/>
    <w:rsid w:val="001E1D3D"/>
    <w:rsid w:val="001E290B"/>
    <w:rsid w:val="001E7AB9"/>
    <w:rsid w:val="001F2D35"/>
    <w:rsid w:val="001F2F6B"/>
    <w:rsid w:val="001F3003"/>
    <w:rsid w:val="001F4D0D"/>
    <w:rsid w:val="001F51BB"/>
    <w:rsid w:val="001F609D"/>
    <w:rsid w:val="001F64A0"/>
    <w:rsid w:val="002029A6"/>
    <w:rsid w:val="0020352D"/>
    <w:rsid w:val="0020374C"/>
    <w:rsid w:val="002041AB"/>
    <w:rsid w:val="002045C1"/>
    <w:rsid w:val="00205968"/>
    <w:rsid w:val="00207DB7"/>
    <w:rsid w:val="002106C8"/>
    <w:rsid w:val="00210D19"/>
    <w:rsid w:val="002120E3"/>
    <w:rsid w:val="00212373"/>
    <w:rsid w:val="002138EA"/>
    <w:rsid w:val="00214FBD"/>
    <w:rsid w:val="00220B6F"/>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30D1"/>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6AF"/>
    <w:rsid w:val="002B6E44"/>
    <w:rsid w:val="002C1FC4"/>
    <w:rsid w:val="002C4696"/>
    <w:rsid w:val="002D05DD"/>
    <w:rsid w:val="002D44CF"/>
    <w:rsid w:val="002D4648"/>
    <w:rsid w:val="002E08A7"/>
    <w:rsid w:val="002E12A7"/>
    <w:rsid w:val="002E775B"/>
    <w:rsid w:val="002F1AAE"/>
    <w:rsid w:val="002F2CFB"/>
    <w:rsid w:val="002F4093"/>
    <w:rsid w:val="002F53BE"/>
    <w:rsid w:val="002F6C9B"/>
    <w:rsid w:val="002F6EF4"/>
    <w:rsid w:val="002F796C"/>
    <w:rsid w:val="00300C95"/>
    <w:rsid w:val="003040AA"/>
    <w:rsid w:val="00304C3C"/>
    <w:rsid w:val="00304E3F"/>
    <w:rsid w:val="0030631E"/>
    <w:rsid w:val="00306331"/>
    <w:rsid w:val="00312538"/>
    <w:rsid w:val="00312E62"/>
    <w:rsid w:val="003140D7"/>
    <w:rsid w:val="00314AF6"/>
    <w:rsid w:val="003253ED"/>
    <w:rsid w:val="00331476"/>
    <w:rsid w:val="00341E05"/>
    <w:rsid w:val="00341EE1"/>
    <w:rsid w:val="003449E6"/>
    <w:rsid w:val="003466ED"/>
    <w:rsid w:val="00346928"/>
    <w:rsid w:val="00353C40"/>
    <w:rsid w:val="003543FA"/>
    <w:rsid w:val="00356B37"/>
    <w:rsid w:val="00361187"/>
    <w:rsid w:val="00361491"/>
    <w:rsid w:val="003626D4"/>
    <w:rsid w:val="003667FF"/>
    <w:rsid w:val="00367724"/>
    <w:rsid w:val="00372085"/>
    <w:rsid w:val="00372B4D"/>
    <w:rsid w:val="00374EB9"/>
    <w:rsid w:val="0037533A"/>
    <w:rsid w:val="00376440"/>
    <w:rsid w:val="003772F3"/>
    <w:rsid w:val="00381C9C"/>
    <w:rsid w:val="003823D1"/>
    <w:rsid w:val="003919B6"/>
    <w:rsid w:val="00394970"/>
    <w:rsid w:val="00395673"/>
    <w:rsid w:val="00395DC6"/>
    <w:rsid w:val="00396A8B"/>
    <w:rsid w:val="003970D1"/>
    <w:rsid w:val="003A0B5D"/>
    <w:rsid w:val="003A1829"/>
    <w:rsid w:val="003A377C"/>
    <w:rsid w:val="003A4CB3"/>
    <w:rsid w:val="003A4FA6"/>
    <w:rsid w:val="003A665A"/>
    <w:rsid w:val="003B0CD7"/>
    <w:rsid w:val="003B3F20"/>
    <w:rsid w:val="003B656B"/>
    <w:rsid w:val="003B6B5A"/>
    <w:rsid w:val="003B6D17"/>
    <w:rsid w:val="003B7DAB"/>
    <w:rsid w:val="003C0024"/>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D78A0"/>
    <w:rsid w:val="003E1394"/>
    <w:rsid w:val="003E2BDE"/>
    <w:rsid w:val="003E369A"/>
    <w:rsid w:val="003E3A7C"/>
    <w:rsid w:val="003E3CD8"/>
    <w:rsid w:val="003E604E"/>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6887"/>
    <w:rsid w:val="0040756A"/>
    <w:rsid w:val="00414F91"/>
    <w:rsid w:val="00415B46"/>
    <w:rsid w:val="00417473"/>
    <w:rsid w:val="004217AC"/>
    <w:rsid w:val="00421A46"/>
    <w:rsid w:val="00422BAA"/>
    <w:rsid w:val="004237D4"/>
    <w:rsid w:val="00430E86"/>
    <w:rsid w:val="00431856"/>
    <w:rsid w:val="00432377"/>
    <w:rsid w:val="00433282"/>
    <w:rsid w:val="00434EEC"/>
    <w:rsid w:val="004361B4"/>
    <w:rsid w:val="00440E4B"/>
    <w:rsid w:val="00441C2A"/>
    <w:rsid w:val="00441C6D"/>
    <w:rsid w:val="00442568"/>
    <w:rsid w:val="004430CF"/>
    <w:rsid w:val="004438C9"/>
    <w:rsid w:val="00443CC6"/>
    <w:rsid w:val="00444225"/>
    <w:rsid w:val="00444D6C"/>
    <w:rsid w:val="004453BB"/>
    <w:rsid w:val="0044720E"/>
    <w:rsid w:val="00450EF8"/>
    <w:rsid w:val="00451271"/>
    <w:rsid w:val="004543ED"/>
    <w:rsid w:val="0046402B"/>
    <w:rsid w:val="004645B3"/>
    <w:rsid w:val="00465F13"/>
    <w:rsid w:val="0046699D"/>
    <w:rsid w:val="00474E67"/>
    <w:rsid w:val="00474FA0"/>
    <w:rsid w:val="00475DFB"/>
    <w:rsid w:val="00477C07"/>
    <w:rsid w:val="0049156D"/>
    <w:rsid w:val="00492639"/>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B12"/>
    <w:rsid w:val="004F2F68"/>
    <w:rsid w:val="004F6299"/>
    <w:rsid w:val="004F7A3D"/>
    <w:rsid w:val="00505026"/>
    <w:rsid w:val="00505BFA"/>
    <w:rsid w:val="00515234"/>
    <w:rsid w:val="00517172"/>
    <w:rsid w:val="00517307"/>
    <w:rsid w:val="00521AAC"/>
    <w:rsid w:val="00521B8C"/>
    <w:rsid w:val="00526B6F"/>
    <w:rsid w:val="0053142A"/>
    <w:rsid w:val="005347FC"/>
    <w:rsid w:val="00535EC2"/>
    <w:rsid w:val="00540A87"/>
    <w:rsid w:val="005434D7"/>
    <w:rsid w:val="005479F5"/>
    <w:rsid w:val="00551B83"/>
    <w:rsid w:val="005558CF"/>
    <w:rsid w:val="00556E1D"/>
    <w:rsid w:val="00557502"/>
    <w:rsid w:val="00560492"/>
    <w:rsid w:val="00561D8D"/>
    <w:rsid w:val="0056501A"/>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3659"/>
    <w:rsid w:val="005A3E11"/>
    <w:rsid w:val="005A5603"/>
    <w:rsid w:val="005A718C"/>
    <w:rsid w:val="005A7306"/>
    <w:rsid w:val="005A7381"/>
    <w:rsid w:val="005A772A"/>
    <w:rsid w:val="005B207E"/>
    <w:rsid w:val="005B41E8"/>
    <w:rsid w:val="005B653A"/>
    <w:rsid w:val="005B7115"/>
    <w:rsid w:val="005B775E"/>
    <w:rsid w:val="005C61CD"/>
    <w:rsid w:val="005C6516"/>
    <w:rsid w:val="005D1F5B"/>
    <w:rsid w:val="005D21ED"/>
    <w:rsid w:val="005D2248"/>
    <w:rsid w:val="005D23E2"/>
    <w:rsid w:val="005D2D03"/>
    <w:rsid w:val="005D3F3A"/>
    <w:rsid w:val="005D4407"/>
    <w:rsid w:val="005D4B05"/>
    <w:rsid w:val="005D6D26"/>
    <w:rsid w:val="005D761F"/>
    <w:rsid w:val="005E624D"/>
    <w:rsid w:val="005E6321"/>
    <w:rsid w:val="005F0373"/>
    <w:rsid w:val="005F2232"/>
    <w:rsid w:val="005F4A7E"/>
    <w:rsid w:val="005F4D2C"/>
    <w:rsid w:val="005F628C"/>
    <w:rsid w:val="005F7356"/>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16FA"/>
    <w:rsid w:val="00642564"/>
    <w:rsid w:val="00642ED4"/>
    <w:rsid w:val="00643555"/>
    <w:rsid w:val="00644B23"/>
    <w:rsid w:val="00645857"/>
    <w:rsid w:val="00646E36"/>
    <w:rsid w:val="006475B9"/>
    <w:rsid w:val="00650609"/>
    <w:rsid w:val="00651FDE"/>
    <w:rsid w:val="006529B7"/>
    <w:rsid w:val="00654E66"/>
    <w:rsid w:val="006550A5"/>
    <w:rsid w:val="006604A7"/>
    <w:rsid w:val="006604E7"/>
    <w:rsid w:val="006613B0"/>
    <w:rsid w:val="0066267D"/>
    <w:rsid w:val="0066272C"/>
    <w:rsid w:val="00662AB0"/>
    <w:rsid w:val="0066469F"/>
    <w:rsid w:val="00665483"/>
    <w:rsid w:val="006670DA"/>
    <w:rsid w:val="00670916"/>
    <w:rsid w:val="00671A88"/>
    <w:rsid w:val="00671E20"/>
    <w:rsid w:val="00673537"/>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07AE"/>
    <w:rsid w:val="006A18D4"/>
    <w:rsid w:val="006A3282"/>
    <w:rsid w:val="006A62A2"/>
    <w:rsid w:val="006A6EAC"/>
    <w:rsid w:val="006B0D02"/>
    <w:rsid w:val="006B17BE"/>
    <w:rsid w:val="006B1EDA"/>
    <w:rsid w:val="006B3906"/>
    <w:rsid w:val="006B463E"/>
    <w:rsid w:val="006B46D8"/>
    <w:rsid w:val="006B572C"/>
    <w:rsid w:val="006B6A9B"/>
    <w:rsid w:val="006B6FF1"/>
    <w:rsid w:val="006B7B74"/>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34FE"/>
    <w:rsid w:val="007045B0"/>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4852"/>
    <w:rsid w:val="00757C74"/>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B0D3C"/>
    <w:rsid w:val="007B0D50"/>
    <w:rsid w:val="007B0E1D"/>
    <w:rsid w:val="007B21C5"/>
    <w:rsid w:val="007B319F"/>
    <w:rsid w:val="007B3B93"/>
    <w:rsid w:val="007B505C"/>
    <w:rsid w:val="007C00B9"/>
    <w:rsid w:val="007C0B20"/>
    <w:rsid w:val="007C197A"/>
    <w:rsid w:val="007C2B61"/>
    <w:rsid w:val="007C3B6C"/>
    <w:rsid w:val="007C3C41"/>
    <w:rsid w:val="007C742F"/>
    <w:rsid w:val="007C772F"/>
    <w:rsid w:val="007D4862"/>
    <w:rsid w:val="007D4E54"/>
    <w:rsid w:val="007D5A9E"/>
    <w:rsid w:val="007D6048"/>
    <w:rsid w:val="007D6C01"/>
    <w:rsid w:val="007E1F3B"/>
    <w:rsid w:val="007E2BF7"/>
    <w:rsid w:val="007E4809"/>
    <w:rsid w:val="007E4F8D"/>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47A"/>
    <w:rsid w:val="00863EBB"/>
    <w:rsid w:val="00864664"/>
    <w:rsid w:val="00866314"/>
    <w:rsid w:val="008671F5"/>
    <w:rsid w:val="00871645"/>
    <w:rsid w:val="00873715"/>
    <w:rsid w:val="0087373E"/>
    <w:rsid w:val="00874FE0"/>
    <w:rsid w:val="00875CB4"/>
    <w:rsid w:val="0087603C"/>
    <w:rsid w:val="008764E7"/>
    <w:rsid w:val="00884014"/>
    <w:rsid w:val="00885543"/>
    <w:rsid w:val="00885DDB"/>
    <w:rsid w:val="008920BD"/>
    <w:rsid w:val="008921D3"/>
    <w:rsid w:val="00893454"/>
    <w:rsid w:val="00895CDB"/>
    <w:rsid w:val="0089639C"/>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38CE"/>
    <w:rsid w:val="00904C88"/>
    <w:rsid w:val="009050A8"/>
    <w:rsid w:val="00906173"/>
    <w:rsid w:val="00906356"/>
    <w:rsid w:val="00906895"/>
    <w:rsid w:val="0090773A"/>
    <w:rsid w:val="009100AC"/>
    <w:rsid w:val="009112A9"/>
    <w:rsid w:val="00912016"/>
    <w:rsid w:val="009147F7"/>
    <w:rsid w:val="0092034B"/>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57C36"/>
    <w:rsid w:val="0096268B"/>
    <w:rsid w:val="009626F8"/>
    <w:rsid w:val="00965EC6"/>
    <w:rsid w:val="00966889"/>
    <w:rsid w:val="0097304D"/>
    <w:rsid w:val="009733BF"/>
    <w:rsid w:val="009776DE"/>
    <w:rsid w:val="0098134C"/>
    <w:rsid w:val="009819AE"/>
    <w:rsid w:val="009829B0"/>
    <w:rsid w:val="00983910"/>
    <w:rsid w:val="00983A27"/>
    <w:rsid w:val="00983FE9"/>
    <w:rsid w:val="00985E49"/>
    <w:rsid w:val="009864AF"/>
    <w:rsid w:val="009928D4"/>
    <w:rsid w:val="00996AC8"/>
    <w:rsid w:val="009A04AF"/>
    <w:rsid w:val="009A08FB"/>
    <w:rsid w:val="009A2280"/>
    <w:rsid w:val="009A2C6C"/>
    <w:rsid w:val="009A43A2"/>
    <w:rsid w:val="009B1D86"/>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3539"/>
    <w:rsid w:val="009D5DE0"/>
    <w:rsid w:val="009D62B1"/>
    <w:rsid w:val="009E0843"/>
    <w:rsid w:val="009E09B3"/>
    <w:rsid w:val="009E28EF"/>
    <w:rsid w:val="009E2929"/>
    <w:rsid w:val="009E30E5"/>
    <w:rsid w:val="009E571C"/>
    <w:rsid w:val="009E5870"/>
    <w:rsid w:val="009F14F7"/>
    <w:rsid w:val="009F183D"/>
    <w:rsid w:val="009F3F7E"/>
    <w:rsid w:val="00A0219E"/>
    <w:rsid w:val="00A0535F"/>
    <w:rsid w:val="00A05FD2"/>
    <w:rsid w:val="00A126D8"/>
    <w:rsid w:val="00A15D47"/>
    <w:rsid w:val="00A16E19"/>
    <w:rsid w:val="00A17573"/>
    <w:rsid w:val="00A24F2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28E"/>
    <w:rsid w:val="00A6446C"/>
    <w:rsid w:val="00A653A6"/>
    <w:rsid w:val="00A65439"/>
    <w:rsid w:val="00A65BF6"/>
    <w:rsid w:val="00A66640"/>
    <w:rsid w:val="00A669BC"/>
    <w:rsid w:val="00A66F72"/>
    <w:rsid w:val="00A67A2B"/>
    <w:rsid w:val="00A72864"/>
    <w:rsid w:val="00A73A6E"/>
    <w:rsid w:val="00A73DDE"/>
    <w:rsid w:val="00A81045"/>
    <w:rsid w:val="00A81933"/>
    <w:rsid w:val="00A81B15"/>
    <w:rsid w:val="00A85234"/>
    <w:rsid w:val="00A85DBC"/>
    <w:rsid w:val="00A86D7E"/>
    <w:rsid w:val="00A87366"/>
    <w:rsid w:val="00A878EF"/>
    <w:rsid w:val="00A90C91"/>
    <w:rsid w:val="00A9656B"/>
    <w:rsid w:val="00A97B23"/>
    <w:rsid w:val="00AA24C1"/>
    <w:rsid w:val="00AA4CA6"/>
    <w:rsid w:val="00AA4DD5"/>
    <w:rsid w:val="00AA5DEE"/>
    <w:rsid w:val="00AB3499"/>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3EE6"/>
    <w:rsid w:val="00B1526D"/>
    <w:rsid w:val="00B15E24"/>
    <w:rsid w:val="00B221EA"/>
    <w:rsid w:val="00B226D0"/>
    <w:rsid w:val="00B22E92"/>
    <w:rsid w:val="00B30F2A"/>
    <w:rsid w:val="00B31FB5"/>
    <w:rsid w:val="00B3223D"/>
    <w:rsid w:val="00B34988"/>
    <w:rsid w:val="00B3698F"/>
    <w:rsid w:val="00B406C1"/>
    <w:rsid w:val="00B41E8F"/>
    <w:rsid w:val="00B42372"/>
    <w:rsid w:val="00B42C7A"/>
    <w:rsid w:val="00B44009"/>
    <w:rsid w:val="00B463E3"/>
    <w:rsid w:val="00B47443"/>
    <w:rsid w:val="00B47B48"/>
    <w:rsid w:val="00B5001E"/>
    <w:rsid w:val="00B52C8A"/>
    <w:rsid w:val="00B5445A"/>
    <w:rsid w:val="00B558AB"/>
    <w:rsid w:val="00B606D9"/>
    <w:rsid w:val="00B60991"/>
    <w:rsid w:val="00B61B8C"/>
    <w:rsid w:val="00B62D3B"/>
    <w:rsid w:val="00B64ABD"/>
    <w:rsid w:val="00B65225"/>
    <w:rsid w:val="00B70989"/>
    <w:rsid w:val="00B72FB5"/>
    <w:rsid w:val="00B73543"/>
    <w:rsid w:val="00B739BA"/>
    <w:rsid w:val="00B73AE2"/>
    <w:rsid w:val="00B73BFC"/>
    <w:rsid w:val="00B80274"/>
    <w:rsid w:val="00B8397B"/>
    <w:rsid w:val="00B8446C"/>
    <w:rsid w:val="00B84970"/>
    <w:rsid w:val="00B876F0"/>
    <w:rsid w:val="00B87ECE"/>
    <w:rsid w:val="00B9181B"/>
    <w:rsid w:val="00B925DD"/>
    <w:rsid w:val="00B94AC5"/>
    <w:rsid w:val="00B9543F"/>
    <w:rsid w:val="00B95A46"/>
    <w:rsid w:val="00BA146A"/>
    <w:rsid w:val="00BA1CBC"/>
    <w:rsid w:val="00BA1D66"/>
    <w:rsid w:val="00BA3CF7"/>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D1A"/>
    <w:rsid w:val="00BF7F29"/>
    <w:rsid w:val="00BF7F3A"/>
    <w:rsid w:val="00C04118"/>
    <w:rsid w:val="00C07A28"/>
    <w:rsid w:val="00C135B6"/>
    <w:rsid w:val="00C16679"/>
    <w:rsid w:val="00C16EAA"/>
    <w:rsid w:val="00C20409"/>
    <w:rsid w:val="00C26212"/>
    <w:rsid w:val="00C26985"/>
    <w:rsid w:val="00C27B4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16DF"/>
    <w:rsid w:val="00C70E7D"/>
    <w:rsid w:val="00C73658"/>
    <w:rsid w:val="00C80CB7"/>
    <w:rsid w:val="00C816A2"/>
    <w:rsid w:val="00C8176D"/>
    <w:rsid w:val="00C81962"/>
    <w:rsid w:val="00C82696"/>
    <w:rsid w:val="00C82C1B"/>
    <w:rsid w:val="00C83065"/>
    <w:rsid w:val="00C8380C"/>
    <w:rsid w:val="00C83DD1"/>
    <w:rsid w:val="00C84376"/>
    <w:rsid w:val="00C847AC"/>
    <w:rsid w:val="00C91E2D"/>
    <w:rsid w:val="00C93060"/>
    <w:rsid w:val="00C93D3B"/>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4CC"/>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1E2C"/>
    <w:rsid w:val="00D43968"/>
    <w:rsid w:val="00D50D6E"/>
    <w:rsid w:val="00D50DBD"/>
    <w:rsid w:val="00D520E4"/>
    <w:rsid w:val="00D526A5"/>
    <w:rsid w:val="00D52C0F"/>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362B"/>
    <w:rsid w:val="00D74ED9"/>
    <w:rsid w:val="00D75D35"/>
    <w:rsid w:val="00D80F14"/>
    <w:rsid w:val="00D80F86"/>
    <w:rsid w:val="00D82619"/>
    <w:rsid w:val="00D831F6"/>
    <w:rsid w:val="00D839B8"/>
    <w:rsid w:val="00D83AAD"/>
    <w:rsid w:val="00D84411"/>
    <w:rsid w:val="00D90132"/>
    <w:rsid w:val="00D9135B"/>
    <w:rsid w:val="00D919AC"/>
    <w:rsid w:val="00D91D89"/>
    <w:rsid w:val="00D97D52"/>
    <w:rsid w:val="00DA025E"/>
    <w:rsid w:val="00DA518A"/>
    <w:rsid w:val="00DA706D"/>
    <w:rsid w:val="00DB0073"/>
    <w:rsid w:val="00DB0BA5"/>
    <w:rsid w:val="00DB1284"/>
    <w:rsid w:val="00DB71C7"/>
    <w:rsid w:val="00DB773E"/>
    <w:rsid w:val="00DC1331"/>
    <w:rsid w:val="00DC2AA2"/>
    <w:rsid w:val="00DC39A9"/>
    <w:rsid w:val="00DC53E7"/>
    <w:rsid w:val="00DC756C"/>
    <w:rsid w:val="00DC7BB8"/>
    <w:rsid w:val="00DC7EFB"/>
    <w:rsid w:val="00DD00AF"/>
    <w:rsid w:val="00DD0C2C"/>
    <w:rsid w:val="00DD3142"/>
    <w:rsid w:val="00DD576B"/>
    <w:rsid w:val="00DE22B1"/>
    <w:rsid w:val="00DE263D"/>
    <w:rsid w:val="00DE283D"/>
    <w:rsid w:val="00DE4455"/>
    <w:rsid w:val="00DE60C1"/>
    <w:rsid w:val="00DE67FC"/>
    <w:rsid w:val="00DF019F"/>
    <w:rsid w:val="00DF0815"/>
    <w:rsid w:val="00DF271B"/>
    <w:rsid w:val="00DF2BBB"/>
    <w:rsid w:val="00DF30DF"/>
    <w:rsid w:val="00DF5A00"/>
    <w:rsid w:val="00E02397"/>
    <w:rsid w:val="00E064D0"/>
    <w:rsid w:val="00E06B0C"/>
    <w:rsid w:val="00E06B4B"/>
    <w:rsid w:val="00E07B9A"/>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A82"/>
    <w:rsid w:val="00EC44C8"/>
    <w:rsid w:val="00EC556A"/>
    <w:rsid w:val="00EC7140"/>
    <w:rsid w:val="00EC722B"/>
    <w:rsid w:val="00ED0C81"/>
    <w:rsid w:val="00ED3972"/>
    <w:rsid w:val="00ED509A"/>
    <w:rsid w:val="00ED5262"/>
    <w:rsid w:val="00ED5719"/>
    <w:rsid w:val="00ED5D0F"/>
    <w:rsid w:val="00EE109A"/>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5434"/>
    <w:rsid w:val="00F06B98"/>
    <w:rsid w:val="00F06C54"/>
    <w:rsid w:val="00F06DD8"/>
    <w:rsid w:val="00F072D8"/>
    <w:rsid w:val="00F10825"/>
    <w:rsid w:val="00F1357B"/>
    <w:rsid w:val="00F15C84"/>
    <w:rsid w:val="00F16188"/>
    <w:rsid w:val="00F176F7"/>
    <w:rsid w:val="00F20B94"/>
    <w:rsid w:val="00F21630"/>
    <w:rsid w:val="00F21AA3"/>
    <w:rsid w:val="00F21B36"/>
    <w:rsid w:val="00F21FA0"/>
    <w:rsid w:val="00F22AF9"/>
    <w:rsid w:val="00F260BB"/>
    <w:rsid w:val="00F262D7"/>
    <w:rsid w:val="00F30B22"/>
    <w:rsid w:val="00F30C72"/>
    <w:rsid w:val="00F31369"/>
    <w:rsid w:val="00F31F73"/>
    <w:rsid w:val="00F3281B"/>
    <w:rsid w:val="00F33C35"/>
    <w:rsid w:val="00F35313"/>
    <w:rsid w:val="00F3578A"/>
    <w:rsid w:val="00F36867"/>
    <w:rsid w:val="00F37FA4"/>
    <w:rsid w:val="00F41776"/>
    <w:rsid w:val="00F424E6"/>
    <w:rsid w:val="00F43104"/>
    <w:rsid w:val="00F44A61"/>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05"/>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0D9A"/>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F84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5F628C"/>
    <w:pPr>
      <w:jc w:val="center"/>
    </w:pPr>
    <w:rPr>
      <w:rFonts w:ascii="Tms Rmn" w:eastAsia="SimSun" w:hAnsi="Tms Rmn"/>
      <w:lang w:val="en-US" w:eastAsia="ja-JP"/>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5F628C"/>
    <w:rPr>
      <w:rFonts w:ascii="Tms Rmn" w:eastAsia="SimSun" w:hAnsi="Tms Rmn"/>
      <w:sz w:val="18"/>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39"/>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basedOn w:val="a"/>
    <w:uiPriority w:val="34"/>
    <w:qFormat/>
    <w:rsid w:val="00BA3CF7"/>
    <w:pPr>
      <w:overflowPunct w:val="0"/>
      <w:autoSpaceDE w:val="0"/>
      <w:autoSpaceDN w:val="0"/>
      <w:adjustRightInd w:val="0"/>
      <w:ind w:left="720"/>
      <w:contextualSpacing/>
      <w:textAlignment w:val="baseline"/>
    </w:pPr>
    <w:rPr>
      <w:rFonts w:eastAsia="Times New Roman"/>
    </w:rPr>
  </w:style>
  <w:style w:type="character" w:customStyle="1" w:styleId="TALChar">
    <w:name w:val="TAL Char"/>
    <w:rsid w:val="00474E67"/>
    <w:rPr>
      <w:rFonts w:ascii="Arial" w:hAnsi="Arial"/>
      <w:sz w:val="18"/>
      <w:lang w:val="en-GB"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2673100">
      <w:bodyDiv w:val="1"/>
      <w:marLeft w:val="0"/>
      <w:marRight w:val="0"/>
      <w:marTop w:val="0"/>
      <w:marBottom w:val="0"/>
      <w:divBdr>
        <w:top w:val="none" w:sz="0" w:space="0" w:color="auto"/>
        <w:left w:val="none" w:sz="0" w:space="0" w:color="auto"/>
        <w:bottom w:val="none" w:sz="0" w:space="0" w:color="auto"/>
        <w:right w:val="none" w:sz="0" w:space="0" w:color="auto"/>
      </w:divBdr>
      <w:divsChild>
        <w:div w:id="1862433043">
          <w:marLeft w:val="0"/>
          <w:marRight w:val="0"/>
          <w:marTop w:val="0"/>
          <w:marBottom w:val="0"/>
          <w:divBdr>
            <w:top w:val="none" w:sz="0" w:space="0" w:color="auto"/>
            <w:left w:val="none" w:sz="0" w:space="0" w:color="auto"/>
            <w:bottom w:val="none" w:sz="0" w:space="0" w:color="auto"/>
            <w:right w:val="none" w:sz="0" w:space="0" w:color="auto"/>
          </w:divBdr>
          <w:divsChild>
            <w:div w:id="427386917">
              <w:marLeft w:val="0"/>
              <w:marRight w:val="0"/>
              <w:marTop w:val="0"/>
              <w:marBottom w:val="0"/>
              <w:divBdr>
                <w:top w:val="none" w:sz="0" w:space="0" w:color="auto"/>
                <w:left w:val="none" w:sz="0" w:space="0" w:color="auto"/>
                <w:bottom w:val="none" w:sz="0" w:space="0" w:color="auto"/>
                <w:right w:val="none" w:sz="0" w:space="0" w:color="auto"/>
              </w:divBdr>
              <w:divsChild>
                <w:div w:id="1395935144">
                  <w:marLeft w:val="0"/>
                  <w:marRight w:val="0"/>
                  <w:marTop w:val="0"/>
                  <w:marBottom w:val="0"/>
                  <w:divBdr>
                    <w:top w:val="none" w:sz="0" w:space="0" w:color="auto"/>
                    <w:left w:val="none" w:sz="0" w:space="0" w:color="auto"/>
                    <w:bottom w:val="none" w:sz="0" w:space="0" w:color="auto"/>
                    <w:right w:val="none" w:sz="0" w:space="0" w:color="auto"/>
                  </w:divBdr>
                  <w:divsChild>
                    <w:div w:id="158932416">
                      <w:marLeft w:val="0"/>
                      <w:marRight w:val="0"/>
                      <w:marTop w:val="0"/>
                      <w:marBottom w:val="0"/>
                      <w:divBdr>
                        <w:top w:val="none" w:sz="0" w:space="0" w:color="auto"/>
                        <w:left w:val="none" w:sz="0" w:space="0" w:color="auto"/>
                        <w:bottom w:val="none" w:sz="0" w:space="0" w:color="auto"/>
                        <w:right w:val="none" w:sz="0" w:space="0" w:color="auto"/>
                      </w:divBdr>
                      <w:divsChild>
                        <w:div w:id="1024131436">
                          <w:marLeft w:val="0"/>
                          <w:marRight w:val="0"/>
                          <w:marTop w:val="0"/>
                          <w:marBottom w:val="0"/>
                          <w:divBdr>
                            <w:top w:val="none" w:sz="0" w:space="0" w:color="auto"/>
                            <w:left w:val="none" w:sz="0" w:space="0" w:color="auto"/>
                            <w:bottom w:val="none" w:sz="0" w:space="0" w:color="auto"/>
                            <w:right w:val="none" w:sz="0" w:space="0" w:color="auto"/>
                          </w:divBdr>
                          <w:divsChild>
                            <w:div w:id="2119327165">
                              <w:marLeft w:val="0"/>
                              <w:marRight w:val="0"/>
                              <w:marTop w:val="0"/>
                              <w:marBottom w:val="0"/>
                              <w:divBdr>
                                <w:top w:val="none" w:sz="0" w:space="0" w:color="auto"/>
                                <w:left w:val="none" w:sz="0" w:space="0" w:color="auto"/>
                                <w:bottom w:val="none" w:sz="0" w:space="0" w:color="auto"/>
                                <w:right w:val="none" w:sz="0" w:space="0" w:color="auto"/>
                              </w:divBdr>
                              <w:divsChild>
                                <w:div w:id="1561792076">
                                  <w:marLeft w:val="0"/>
                                  <w:marRight w:val="0"/>
                                  <w:marTop w:val="0"/>
                                  <w:marBottom w:val="0"/>
                                  <w:divBdr>
                                    <w:top w:val="none" w:sz="0" w:space="0" w:color="auto"/>
                                    <w:left w:val="none" w:sz="0" w:space="0" w:color="auto"/>
                                    <w:bottom w:val="none" w:sz="0" w:space="0" w:color="auto"/>
                                    <w:right w:val="none" w:sz="0" w:space="0" w:color="auto"/>
                                  </w:divBdr>
                                  <w:divsChild>
                                    <w:div w:id="1124422324">
                                      <w:marLeft w:val="0"/>
                                      <w:marRight w:val="0"/>
                                      <w:marTop w:val="0"/>
                                      <w:marBottom w:val="0"/>
                                      <w:divBdr>
                                        <w:top w:val="none" w:sz="0" w:space="0" w:color="auto"/>
                                        <w:left w:val="none" w:sz="0" w:space="0" w:color="auto"/>
                                        <w:bottom w:val="none" w:sz="0" w:space="0" w:color="auto"/>
                                        <w:right w:val="none" w:sz="0" w:space="0" w:color="auto"/>
                                      </w:divBdr>
                                      <w:divsChild>
                                        <w:div w:id="1750424087">
                                          <w:marLeft w:val="0"/>
                                          <w:marRight w:val="0"/>
                                          <w:marTop w:val="0"/>
                                          <w:marBottom w:val="495"/>
                                          <w:divBdr>
                                            <w:top w:val="none" w:sz="0" w:space="0" w:color="auto"/>
                                            <w:left w:val="none" w:sz="0" w:space="0" w:color="auto"/>
                                            <w:bottom w:val="none" w:sz="0" w:space="0" w:color="auto"/>
                                            <w:right w:val="none" w:sz="0" w:space="0" w:color="auto"/>
                                          </w:divBdr>
                                          <w:divsChild>
                                            <w:div w:id="10894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0549733">
      <w:bodyDiv w:val="1"/>
      <w:marLeft w:val="0"/>
      <w:marRight w:val="0"/>
      <w:marTop w:val="0"/>
      <w:marBottom w:val="0"/>
      <w:divBdr>
        <w:top w:val="none" w:sz="0" w:space="0" w:color="auto"/>
        <w:left w:val="none" w:sz="0" w:space="0" w:color="auto"/>
        <w:bottom w:val="none" w:sz="0" w:space="0" w:color="auto"/>
        <w:right w:val="none" w:sz="0" w:space="0" w:color="auto"/>
      </w:divBdr>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7589326">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5488511">
      <w:bodyDiv w:val="1"/>
      <w:marLeft w:val="0"/>
      <w:marRight w:val="0"/>
      <w:marTop w:val="0"/>
      <w:marBottom w:val="0"/>
      <w:divBdr>
        <w:top w:val="none" w:sz="0" w:space="0" w:color="auto"/>
        <w:left w:val="none" w:sz="0" w:space="0" w:color="auto"/>
        <w:bottom w:val="none" w:sz="0" w:space="0" w:color="auto"/>
        <w:right w:val="none" w:sz="0" w:space="0" w:color="auto"/>
      </w:divBdr>
      <w:divsChild>
        <w:div w:id="1451784324">
          <w:marLeft w:val="0"/>
          <w:marRight w:val="0"/>
          <w:marTop w:val="0"/>
          <w:marBottom w:val="0"/>
          <w:divBdr>
            <w:top w:val="none" w:sz="0" w:space="0" w:color="auto"/>
            <w:left w:val="none" w:sz="0" w:space="0" w:color="auto"/>
            <w:bottom w:val="none" w:sz="0" w:space="0" w:color="auto"/>
            <w:right w:val="none" w:sz="0" w:space="0" w:color="auto"/>
          </w:divBdr>
          <w:divsChild>
            <w:div w:id="451246718">
              <w:marLeft w:val="0"/>
              <w:marRight w:val="0"/>
              <w:marTop w:val="0"/>
              <w:marBottom w:val="0"/>
              <w:divBdr>
                <w:top w:val="none" w:sz="0" w:space="0" w:color="auto"/>
                <w:left w:val="none" w:sz="0" w:space="0" w:color="auto"/>
                <w:bottom w:val="none" w:sz="0" w:space="0" w:color="auto"/>
                <w:right w:val="none" w:sz="0" w:space="0" w:color="auto"/>
              </w:divBdr>
              <w:divsChild>
                <w:div w:id="765468294">
                  <w:marLeft w:val="0"/>
                  <w:marRight w:val="0"/>
                  <w:marTop w:val="0"/>
                  <w:marBottom w:val="0"/>
                  <w:divBdr>
                    <w:top w:val="none" w:sz="0" w:space="0" w:color="auto"/>
                    <w:left w:val="none" w:sz="0" w:space="0" w:color="auto"/>
                    <w:bottom w:val="none" w:sz="0" w:space="0" w:color="auto"/>
                    <w:right w:val="none" w:sz="0" w:space="0" w:color="auto"/>
                  </w:divBdr>
                  <w:divsChild>
                    <w:div w:id="1814982822">
                      <w:marLeft w:val="0"/>
                      <w:marRight w:val="0"/>
                      <w:marTop w:val="0"/>
                      <w:marBottom w:val="0"/>
                      <w:divBdr>
                        <w:top w:val="none" w:sz="0" w:space="0" w:color="auto"/>
                        <w:left w:val="none" w:sz="0" w:space="0" w:color="auto"/>
                        <w:bottom w:val="none" w:sz="0" w:space="0" w:color="auto"/>
                        <w:right w:val="none" w:sz="0" w:space="0" w:color="auto"/>
                      </w:divBdr>
                      <w:divsChild>
                        <w:div w:id="1113133984">
                          <w:marLeft w:val="0"/>
                          <w:marRight w:val="0"/>
                          <w:marTop w:val="0"/>
                          <w:marBottom w:val="0"/>
                          <w:divBdr>
                            <w:top w:val="none" w:sz="0" w:space="0" w:color="auto"/>
                            <w:left w:val="none" w:sz="0" w:space="0" w:color="auto"/>
                            <w:bottom w:val="none" w:sz="0" w:space="0" w:color="auto"/>
                            <w:right w:val="none" w:sz="0" w:space="0" w:color="auto"/>
                          </w:divBdr>
                          <w:divsChild>
                            <w:div w:id="2054452644">
                              <w:marLeft w:val="0"/>
                              <w:marRight w:val="0"/>
                              <w:marTop w:val="0"/>
                              <w:marBottom w:val="0"/>
                              <w:divBdr>
                                <w:top w:val="none" w:sz="0" w:space="0" w:color="auto"/>
                                <w:left w:val="none" w:sz="0" w:space="0" w:color="auto"/>
                                <w:bottom w:val="none" w:sz="0" w:space="0" w:color="auto"/>
                                <w:right w:val="none" w:sz="0" w:space="0" w:color="auto"/>
                              </w:divBdr>
                              <w:divsChild>
                                <w:div w:id="1134984060">
                                  <w:marLeft w:val="0"/>
                                  <w:marRight w:val="0"/>
                                  <w:marTop w:val="0"/>
                                  <w:marBottom w:val="0"/>
                                  <w:divBdr>
                                    <w:top w:val="none" w:sz="0" w:space="0" w:color="auto"/>
                                    <w:left w:val="none" w:sz="0" w:space="0" w:color="auto"/>
                                    <w:bottom w:val="none" w:sz="0" w:space="0" w:color="auto"/>
                                    <w:right w:val="none" w:sz="0" w:space="0" w:color="auto"/>
                                  </w:divBdr>
                                  <w:divsChild>
                                    <w:div w:id="2135830369">
                                      <w:marLeft w:val="0"/>
                                      <w:marRight w:val="0"/>
                                      <w:marTop w:val="0"/>
                                      <w:marBottom w:val="0"/>
                                      <w:divBdr>
                                        <w:top w:val="none" w:sz="0" w:space="0" w:color="auto"/>
                                        <w:left w:val="none" w:sz="0" w:space="0" w:color="auto"/>
                                        <w:bottom w:val="none" w:sz="0" w:space="0" w:color="auto"/>
                                        <w:right w:val="none" w:sz="0" w:space="0" w:color="auto"/>
                                      </w:divBdr>
                                      <w:divsChild>
                                        <w:div w:id="1541745754">
                                          <w:marLeft w:val="0"/>
                                          <w:marRight w:val="0"/>
                                          <w:marTop w:val="0"/>
                                          <w:marBottom w:val="495"/>
                                          <w:divBdr>
                                            <w:top w:val="none" w:sz="0" w:space="0" w:color="auto"/>
                                            <w:left w:val="none" w:sz="0" w:space="0" w:color="auto"/>
                                            <w:bottom w:val="none" w:sz="0" w:space="0" w:color="auto"/>
                                            <w:right w:val="none" w:sz="0" w:space="0" w:color="auto"/>
                                          </w:divBdr>
                                          <w:divsChild>
                                            <w:div w:id="80774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3461167">
      <w:bodyDiv w:val="1"/>
      <w:marLeft w:val="0"/>
      <w:marRight w:val="0"/>
      <w:marTop w:val="0"/>
      <w:marBottom w:val="0"/>
      <w:divBdr>
        <w:top w:val="none" w:sz="0" w:space="0" w:color="auto"/>
        <w:left w:val="none" w:sz="0" w:space="0" w:color="auto"/>
        <w:bottom w:val="none" w:sz="0" w:space="0" w:color="auto"/>
        <w:right w:val="none" w:sz="0" w:space="0" w:color="auto"/>
      </w:divBdr>
    </w:div>
    <w:div w:id="721637734">
      <w:bodyDiv w:val="1"/>
      <w:marLeft w:val="0"/>
      <w:marRight w:val="0"/>
      <w:marTop w:val="0"/>
      <w:marBottom w:val="0"/>
      <w:divBdr>
        <w:top w:val="none" w:sz="0" w:space="0" w:color="auto"/>
        <w:left w:val="none" w:sz="0" w:space="0" w:color="auto"/>
        <w:bottom w:val="none" w:sz="0" w:space="0" w:color="auto"/>
        <w:right w:val="none" w:sz="0" w:space="0" w:color="auto"/>
      </w:divBdr>
      <w:divsChild>
        <w:div w:id="1522862428">
          <w:marLeft w:val="0"/>
          <w:marRight w:val="0"/>
          <w:marTop w:val="0"/>
          <w:marBottom w:val="0"/>
          <w:divBdr>
            <w:top w:val="none" w:sz="0" w:space="0" w:color="auto"/>
            <w:left w:val="none" w:sz="0" w:space="0" w:color="auto"/>
            <w:bottom w:val="none" w:sz="0" w:space="0" w:color="auto"/>
            <w:right w:val="none" w:sz="0" w:space="0" w:color="auto"/>
          </w:divBdr>
          <w:divsChild>
            <w:div w:id="281573794">
              <w:marLeft w:val="0"/>
              <w:marRight w:val="0"/>
              <w:marTop w:val="0"/>
              <w:marBottom w:val="0"/>
              <w:divBdr>
                <w:top w:val="none" w:sz="0" w:space="0" w:color="auto"/>
                <w:left w:val="none" w:sz="0" w:space="0" w:color="auto"/>
                <w:bottom w:val="none" w:sz="0" w:space="0" w:color="auto"/>
                <w:right w:val="none" w:sz="0" w:space="0" w:color="auto"/>
              </w:divBdr>
              <w:divsChild>
                <w:div w:id="462189983">
                  <w:marLeft w:val="0"/>
                  <w:marRight w:val="0"/>
                  <w:marTop w:val="0"/>
                  <w:marBottom w:val="0"/>
                  <w:divBdr>
                    <w:top w:val="none" w:sz="0" w:space="0" w:color="auto"/>
                    <w:left w:val="none" w:sz="0" w:space="0" w:color="auto"/>
                    <w:bottom w:val="none" w:sz="0" w:space="0" w:color="auto"/>
                    <w:right w:val="none" w:sz="0" w:space="0" w:color="auto"/>
                  </w:divBdr>
                  <w:divsChild>
                    <w:div w:id="628587429">
                      <w:marLeft w:val="0"/>
                      <w:marRight w:val="0"/>
                      <w:marTop w:val="0"/>
                      <w:marBottom w:val="0"/>
                      <w:divBdr>
                        <w:top w:val="none" w:sz="0" w:space="0" w:color="auto"/>
                        <w:left w:val="none" w:sz="0" w:space="0" w:color="auto"/>
                        <w:bottom w:val="none" w:sz="0" w:space="0" w:color="auto"/>
                        <w:right w:val="none" w:sz="0" w:space="0" w:color="auto"/>
                      </w:divBdr>
                      <w:divsChild>
                        <w:div w:id="2097823976">
                          <w:marLeft w:val="0"/>
                          <w:marRight w:val="0"/>
                          <w:marTop w:val="0"/>
                          <w:marBottom w:val="0"/>
                          <w:divBdr>
                            <w:top w:val="none" w:sz="0" w:space="0" w:color="auto"/>
                            <w:left w:val="none" w:sz="0" w:space="0" w:color="auto"/>
                            <w:bottom w:val="none" w:sz="0" w:space="0" w:color="auto"/>
                            <w:right w:val="none" w:sz="0" w:space="0" w:color="auto"/>
                          </w:divBdr>
                          <w:divsChild>
                            <w:div w:id="1512063267">
                              <w:marLeft w:val="0"/>
                              <w:marRight w:val="0"/>
                              <w:marTop w:val="0"/>
                              <w:marBottom w:val="0"/>
                              <w:divBdr>
                                <w:top w:val="none" w:sz="0" w:space="0" w:color="auto"/>
                                <w:left w:val="none" w:sz="0" w:space="0" w:color="auto"/>
                                <w:bottom w:val="none" w:sz="0" w:space="0" w:color="auto"/>
                                <w:right w:val="none" w:sz="0" w:space="0" w:color="auto"/>
                              </w:divBdr>
                              <w:divsChild>
                                <w:div w:id="639262522">
                                  <w:marLeft w:val="0"/>
                                  <w:marRight w:val="0"/>
                                  <w:marTop w:val="0"/>
                                  <w:marBottom w:val="0"/>
                                  <w:divBdr>
                                    <w:top w:val="none" w:sz="0" w:space="0" w:color="auto"/>
                                    <w:left w:val="none" w:sz="0" w:space="0" w:color="auto"/>
                                    <w:bottom w:val="none" w:sz="0" w:space="0" w:color="auto"/>
                                    <w:right w:val="none" w:sz="0" w:space="0" w:color="auto"/>
                                  </w:divBdr>
                                  <w:divsChild>
                                    <w:div w:id="1166287362">
                                      <w:marLeft w:val="0"/>
                                      <w:marRight w:val="0"/>
                                      <w:marTop w:val="0"/>
                                      <w:marBottom w:val="0"/>
                                      <w:divBdr>
                                        <w:top w:val="none" w:sz="0" w:space="0" w:color="auto"/>
                                        <w:left w:val="none" w:sz="0" w:space="0" w:color="auto"/>
                                        <w:bottom w:val="none" w:sz="0" w:space="0" w:color="auto"/>
                                        <w:right w:val="none" w:sz="0" w:space="0" w:color="auto"/>
                                      </w:divBdr>
                                      <w:divsChild>
                                        <w:div w:id="975641734">
                                          <w:marLeft w:val="0"/>
                                          <w:marRight w:val="0"/>
                                          <w:marTop w:val="0"/>
                                          <w:marBottom w:val="495"/>
                                          <w:divBdr>
                                            <w:top w:val="none" w:sz="0" w:space="0" w:color="auto"/>
                                            <w:left w:val="none" w:sz="0" w:space="0" w:color="auto"/>
                                            <w:bottom w:val="none" w:sz="0" w:space="0" w:color="auto"/>
                                            <w:right w:val="none" w:sz="0" w:space="0" w:color="auto"/>
                                          </w:divBdr>
                                          <w:divsChild>
                                            <w:div w:id="52725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73810608">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151647">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27100893">
      <w:bodyDiv w:val="1"/>
      <w:marLeft w:val="0"/>
      <w:marRight w:val="0"/>
      <w:marTop w:val="0"/>
      <w:marBottom w:val="0"/>
      <w:divBdr>
        <w:top w:val="none" w:sz="0" w:space="0" w:color="auto"/>
        <w:left w:val="none" w:sz="0" w:space="0" w:color="auto"/>
        <w:bottom w:val="none" w:sz="0" w:space="0" w:color="auto"/>
        <w:right w:val="none" w:sz="0" w:space="0" w:color="auto"/>
      </w:divBdr>
      <w:divsChild>
        <w:div w:id="1625194179">
          <w:marLeft w:val="0"/>
          <w:marRight w:val="0"/>
          <w:marTop w:val="0"/>
          <w:marBottom w:val="0"/>
          <w:divBdr>
            <w:top w:val="none" w:sz="0" w:space="0" w:color="auto"/>
            <w:left w:val="none" w:sz="0" w:space="0" w:color="auto"/>
            <w:bottom w:val="none" w:sz="0" w:space="0" w:color="auto"/>
            <w:right w:val="none" w:sz="0" w:space="0" w:color="auto"/>
          </w:divBdr>
          <w:divsChild>
            <w:div w:id="1079668276">
              <w:marLeft w:val="0"/>
              <w:marRight w:val="0"/>
              <w:marTop w:val="0"/>
              <w:marBottom w:val="0"/>
              <w:divBdr>
                <w:top w:val="none" w:sz="0" w:space="0" w:color="auto"/>
                <w:left w:val="none" w:sz="0" w:space="0" w:color="auto"/>
                <w:bottom w:val="none" w:sz="0" w:space="0" w:color="auto"/>
                <w:right w:val="none" w:sz="0" w:space="0" w:color="auto"/>
              </w:divBdr>
              <w:divsChild>
                <w:div w:id="722289634">
                  <w:marLeft w:val="0"/>
                  <w:marRight w:val="0"/>
                  <w:marTop w:val="0"/>
                  <w:marBottom w:val="0"/>
                  <w:divBdr>
                    <w:top w:val="none" w:sz="0" w:space="0" w:color="auto"/>
                    <w:left w:val="none" w:sz="0" w:space="0" w:color="auto"/>
                    <w:bottom w:val="none" w:sz="0" w:space="0" w:color="auto"/>
                    <w:right w:val="none" w:sz="0" w:space="0" w:color="auto"/>
                  </w:divBdr>
                  <w:divsChild>
                    <w:div w:id="440951309">
                      <w:marLeft w:val="0"/>
                      <w:marRight w:val="0"/>
                      <w:marTop w:val="0"/>
                      <w:marBottom w:val="0"/>
                      <w:divBdr>
                        <w:top w:val="none" w:sz="0" w:space="0" w:color="auto"/>
                        <w:left w:val="none" w:sz="0" w:space="0" w:color="auto"/>
                        <w:bottom w:val="none" w:sz="0" w:space="0" w:color="auto"/>
                        <w:right w:val="none" w:sz="0" w:space="0" w:color="auto"/>
                      </w:divBdr>
                      <w:divsChild>
                        <w:div w:id="565845048">
                          <w:marLeft w:val="0"/>
                          <w:marRight w:val="0"/>
                          <w:marTop w:val="0"/>
                          <w:marBottom w:val="0"/>
                          <w:divBdr>
                            <w:top w:val="none" w:sz="0" w:space="0" w:color="auto"/>
                            <w:left w:val="none" w:sz="0" w:space="0" w:color="auto"/>
                            <w:bottom w:val="none" w:sz="0" w:space="0" w:color="auto"/>
                            <w:right w:val="none" w:sz="0" w:space="0" w:color="auto"/>
                          </w:divBdr>
                          <w:divsChild>
                            <w:div w:id="746725896">
                              <w:marLeft w:val="0"/>
                              <w:marRight w:val="0"/>
                              <w:marTop w:val="0"/>
                              <w:marBottom w:val="0"/>
                              <w:divBdr>
                                <w:top w:val="none" w:sz="0" w:space="0" w:color="auto"/>
                                <w:left w:val="none" w:sz="0" w:space="0" w:color="auto"/>
                                <w:bottom w:val="none" w:sz="0" w:space="0" w:color="auto"/>
                                <w:right w:val="none" w:sz="0" w:space="0" w:color="auto"/>
                              </w:divBdr>
                              <w:divsChild>
                                <w:div w:id="795834651">
                                  <w:marLeft w:val="0"/>
                                  <w:marRight w:val="0"/>
                                  <w:marTop w:val="0"/>
                                  <w:marBottom w:val="0"/>
                                  <w:divBdr>
                                    <w:top w:val="none" w:sz="0" w:space="0" w:color="auto"/>
                                    <w:left w:val="none" w:sz="0" w:space="0" w:color="auto"/>
                                    <w:bottom w:val="none" w:sz="0" w:space="0" w:color="auto"/>
                                    <w:right w:val="none" w:sz="0" w:space="0" w:color="auto"/>
                                  </w:divBdr>
                                  <w:divsChild>
                                    <w:div w:id="128205806">
                                      <w:marLeft w:val="0"/>
                                      <w:marRight w:val="0"/>
                                      <w:marTop w:val="0"/>
                                      <w:marBottom w:val="0"/>
                                      <w:divBdr>
                                        <w:top w:val="none" w:sz="0" w:space="0" w:color="auto"/>
                                        <w:left w:val="none" w:sz="0" w:space="0" w:color="auto"/>
                                        <w:bottom w:val="none" w:sz="0" w:space="0" w:color="auto"/>
                                        <w:right w:val="none" w:sz="0" w:space="0" w:color="auto"/>
                                      </w:divBdr>
                                      <w:divsChild>
                                        <w:div w:id="1734306363">
                                          <w:marLeft w:val="0"/>
                                          <w:marRight w:val="0"/>
                                          <w:marTop w:val="0"/>
                                          <w:marBottom w:val="495"/>
                                          <w:divBdr>
                                            <w:top w:val="none" w:sz="0" w:space="0" w:color="auto"/>
                                            <w:left w:val="none" w:sz="0" w:space="0" w:color="auto"/>
                                            <w:bottom w:val="none" w:sz="0" w:space="0" w:color="auto"/>
                                            <w:right w:val="none" w:sz="0" w:space="0" w:color="auto"/>
                                          </w:divBdr>
                                          <w:divsChild>
                                            <w:div w:id="17601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67801">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925</TotalTime>
  <Pages>2</Pages>
  <Words>1037</Words>
  <Characters>5913</Characters>
  <Application>Microsoft Macintosh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6937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飯笹</cp:lastModifiedBy>
  <cp:revision>70</cp:revision>
  <cp:lastPrinted>2017-04-28T05:57:00Z</cp:lastPrinted>
  <dcterms:created xsi:type="dcterms:W3CDTF">2019-05-03T00:08:00Z</dcterms:created>
  <dcterms:modified xsi:type="dcterms:W3CDTF">2019-10-04T19:32:00Z</dcterms:modified>
</cp:coreProperties>
</file>